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12886B" w14:textId="7B877233" w:rsidR="00662A86" w:rsidRDefault="00D8353F" w:rsidP="003F25EB">
      <w:pPr>
        <w:jc w:val="center"/>
        <w:rPr>
          <w:rFonts w:asciiTheme="majorHAnsi" w:hAnsiTheme="majorHAnsi"/>
          <w:b/>
        </w:rPr>
      </w:pPr>
      <w:r w:rsidRPr="003F25EB">
        <w:rPr>
          <w:rFonts w:asciiTheme="majorHAnsi" w:hAnsiTheme="majorHAnsi"/>
          <w:b/>
        </w:rPr>
        <w:t>Conseil documentaire</w:t>
      </w:r>
      <w:r w:rsidR="005375EF">
        <w:rPr>
          <w:rFonts w:asciiTheme="majorHAnsi" w:hAnsiTheme="majorHAnsi"/>
          <w:b/>
        </w:rPr>
        <w:t xml:space="preserve"> – </w:t>
      </w:r>
      <w:r w:rsidR="00C12934">
        <w:rPr>
          <w:rFonts w:asciiTheme="majorHAnsi" w:hAnsiTheme="majorHAnsi"/>
          <w:b/>
        </w:rPr>
        <w:t>8 décembre</w:t>
      </w:r>
      <w:r w:rsidR="005375EF">
        <w:rPr>
          <w:rFonts w:asciiTheme="majorHAnsi" w:hAnsiTheme="majorHAnsi"/>
          <w:b/>
        </w:rPr>
        <w:t xml:space="preserve"> 2016</w:t>
      </w:r>
    </w:p>
    <w:p w14:paraId="4380BE4F" w14:textId="77777777" w:rsidR="00C12934" w:rsidRPr="003F25EB" w:rsidRDefault="00C12934" w:rsidP="00C12934">
      <w:pPr>
        <w:rPr>
          <w:rFonts w:asciiTheme="majorHAnsi" w:hAnsiTheme="majorHAnsi"/>
          <w:b/>
        </w:rPr>
      </w:pPr>
    </w:p>
    <w:p w14:paraId="5B8580C6" w14:textId="77777777" w:rsidR="00D8353F" w:rsidRPr="003F25EB" w:rsidRDefault="00D8353F" w:rsidP="003F25EB">
      <w:pPr>
        <w:jc w:val="both"/>
        <w:rPr>
          <w:rFonts w:asciiTheme="majorHAnsi" w:hAnsiTheme="majorHAnsi"/>
        </w:rPr>
      </w:pPr>
    </w:p>
    <w:p w14:paraId="2BAA0638" w14:textId="14F837E8" w:rsidR="00D8353F" w:rsidRPr="003F25EB" w:rsidRDefault="00DA3DEA" w:rsidP="00F42011">
      <w:pPr>
        <w:pBdr>
          <w:top w:val="single" w:sz="4" w:space="1" w:color="auto"/>
          <w:left w:val="single" w:sz="4" w:space="4" w:color="auto"/>
          <w:bottom w:val="single" w:sz="4" w:space="1" w:color="auto"/>
          <w:right w:val="single" w:sz="4" w:space="4" w:color="auto"/>
        </w:pBdr>
        <w:jc w:val="both"/>
        <w:rPr>
          <w:rFonts w:asciiTheme="majorHAnsi" w:hAnsiTheme="majorHAnsi"/>
          <w:b/>
        </w:rPr>
      </w:pPr>
      <w:r>
        <w:rPr>
          <w:rFonts w:asciiTheme="majorHAnsi" w:hAnsiTheme="majorHAnsi"/>
          <w:b/>
        </w:rPr>
        <w:t>Délibération CD2016</w:t>
      </w:r>
      <w:r w:rsidR="00C12934">
        <w:rPr>
          <w:rFonts w:asciiTheme="majorHAnsi" w:hAnsiTheme="majorHAnsi"/>
          <w:b/>
        </w:rPr>
        <w:t>-06</w:t>
      </w:r>
      <w:r w:rsidR="00D8353F" w:rsidRPr="003F25EB">
        <w:rPr>
          <w:rFonts w:asciiTheme="majorHAnsi" w:hAnsiTheme="majorHAnsi"/>
          <w:b/>
        </w:rPr>
        <w:t xml:space="preserve"> : Approbation du </w:t>
      </w:r>
      <w:r>
        <w:rPr>
          <w:rFonts w:asciiTheme="majorHAnsi" w:hAnsiTheme="majorHAnsi"/>
          <w:b/>
        </w:rPr>
        <w:t xml:space="preserve">PV du Conseil documentaire du </w:t>
      </w:r>
      <w:r w:rsidR="00C12934">
        <w:rPr>
          <w:rFonts w:asciiTheme="majorHAnsi" w:hAnsiTheme="majorHAnsi"/>
          <w:b/>
        </w:rPr>
        <w:t>28 juin 2016</w:t>
      </w:r>
      <w:r w:rsidR="00AF34D6" w:rsidRPr="003F25EB">
        <w:rPr>
          <w:rFonts w:asciiTheme="majorHAnsi" w:hAnsiTheme="majorHAnsi"/>
          <w:b/>
        </w:rPr>
        <w:t xml:space="preserve"> </w:t>
      </w:r>
      <w:r w:rsidR="00AF34D6" w:rsidRPr="003F25EB">
        <w:rPr>
          <w:rFonts w:asciiTheme="majorHAnsi" w:hAnsiTheme="majorHAnsi"/>
        </w:rPr>
        <w:t>(ANNEXE 1 : PV</w:t>
      </w:r>
      <w:r>
        <w:rPr>
          <w:rFonts w:asciiTheme="majorHAnsi" w:hAnsiTheme="majorHAnsi"/>
        </w:rPr>
        <w:t xml:space="preserve"> du Conseil documentaire du </w:t>
      </w:r>
      <w:r w:rsidR="00C12934">
        <w:rPr>
          <w:rFonts w:asciiTheme="majorHAnsi" w:hAnsiTheme="majorHAnsi"/>
        </w:rPr>
        <w:t>28.06.2016</w:t>
      </w:r>
      <w:r w:rsidR="00AF34D6" w:rsidRPr="003F25EB">
        <w:rPr>
          <w:rFonts w:asciiTheme="majorHAnsi" w:hAnsiTheme="majorHAnsi"/>
        </w:rPr>
        <w:t>)</w:t>
      </w:r>
    </w:p>
    <w:p w14:paraId="34BD6777" w14:textId="77777777" w:rsidR="00D8353F" w:rsidRPr="003F25EB" w:rsidRDefault="00D8353F" w:rsidP="003F25EB">
      <w:pPr>
        <w:jc w:val="both"/>
        <w:rPr>
          <w:rFonts w:asciiTheme="majorHAnsi" w:hAnsiTheme="majorHAnsi"/>
        </w:rPr>
      </w:pPr>
    </w:p>
    <w:p w14:paraId="613700E4" w14:textId="52900BE1" w:rsidR="00D8353F" w:rsidRPr="003F25EB" w:rsidRDefault="00D8353F" w:rsidP="003F25EB">
      <w:pPr>
        <w:jc w:val="both"/>
        <w:rPr>
          <w:rFonts w:asciiTheme="majorHAnsi" w:hAnsiTheme="majorHAnsi"/>
        </w:rPr>
      </w:pPr>
      <w:r w:rsidRPr="003F25EB">
        <w:rPr>
          <w:rFonts w:asciiTheme="majorHAnsi" w:hAnsiTheme="majorHAnsi"/>
        </w:rPr>
        <w:t>Après lecture du procès-verbal du Conseil do</w:t>
      </w:r>
      <w:r w:rsidR="00DA3DEA">
        <w:rPr>
          <w:rFonts w:asciiTheme="majorHAnsi" w:hAnsiTheme="majorHAnsi"/>
        </w:rPr>
        <w:t xml:space="preserve">cumentaire du </w:t>
      </w:r>
      <w:r w:rsidR="00C12934">
        <w:rPr>
          <w:rFonts w:asciiTheme="majorHAnsi" w:hAnsiTheme="majorHAnsi"/>
        </w:rPr>
        <w:t>28 juin 2016</w:t>
      </w:r>
      <w:r w:rsidR="00AF34D6" w:rsidRPr="003F25EB">
        <w:rPr>
          <w:rFonts w:asciiTheme="majorHAnsi" w:hAnsiTheme="majorHAnsi"/>
        </w:rPr>
        <w:t xml:space="preserve"> (et prise en compte des modifications éventuelles), </w:t>
      </w:r>
      <w:r w:rsidRPr="003F25EB">
        <w:rPr>
          <w:rFonts w:asciiTheme="majorHAnsi" w:hAnsiTheme="majorHAnsi"/>
        </w:rPr>
        <w:t>il est proposé au Conseil documentaire de l’approuver.</w:t>
      </w:r>
    </w:p>
    <w:p w14:paraId="162A21AB" w14:textId="77777777" w:rsidR="00D8353F" w:rsidRPr="003F25EB" w:rsidRDefault="00D8353F" w:rsidP="003F25EB">
      <w:pPr>
        <w:jc w:val="both"/>
        <w:rPr>
          <w:rFonts w:asciiTheme="majorHAnsi" w:hAnsiTheme="majorHAnsi"/>
        </w:rPr>
      </w:pPr>
    </w:p>
    <w:tbl>
      <w:tblPr>
        <w:tblStyle w:val="Grille"/>
        <w:tblW w:w="0" w:type="auto"/>
        <w:tblLook w:val="01E0" w:firstRow="1" w:lastRow="1" w:firstColumn="1" w:lastColumn="1" w:noHBand="0" w:noVBand="0"/>
      </w:tblPr>
      <w:tblGrid>
        <w:gridCol w:w="2303"/>
        <w:gridCol w:w="1188"/>
        <w:gridCol w:w="1152"/>
        <w:gridCol w:w="1622"/>
        <w:gridCol w:w="1492"/>
        <w:gridCol w:w="1492"/>
      </w:tblGrid>
      <w:tr w:rsidR="00F0380E" w:rsidRPr="003F25EB" w14:paraId="47810041" w14:textId="77777777" w:rsidTr="00F0380E">
        <w:trPr>
          <w:trHeight w:val="244"/>
        </w:trPr>
        <w:tc>
          <w:tcPr>
            <w:tcW w:w="2303" w:type="dxa"/>
            <w:vMerge w:val="restart"/>
            <w:vAlign w:val="center"/>
          </w:tcPr>
          <w:p w14:paraId="695A53BE" w14:textId="77777777" w:rsidR="00F0380E" w:rsidRPr="003F25EB" w:rsidRDefault="00F0380E" w:rsidP="003F25EB">
            <w:pPr>
              <w:jc w:val="both"/>
              <w:rPr>
                <w:rFonts w:asciiTheme="majorHAnsi" w:hAnsiTheme="majorHAnsi"/>
              </w:rPr>
            </w:pPr>
            <w:r w:rsidRPr="003F25EB">
              <w:rPr>
                <w:rFonts w:asciiTheme="majorHAnsi" w:hAnsiTheme="majorHAnsi"/>
              </w:rPr>
              <w:t>Membres</w:t>
            </w:r>
          </w:p>
        </w:tc>
        <w:tc>
          <w:tcPr>
            <w:tcW w:w="1188" w:type="dxa"/>
          </w:tcPr>
          <w:p w14:paraId="35862BD4" w14:textId="77777777" w:rsidR="00F0380E" w:rsidRPr="003F25EB" w:rsidRDefault="00F0380E" w:rsidP="003F25EB">
            <w:pPr>
              <w:jc w:val="both"/>
              <w:rPr>
                <w:rFonts w:asciiTheme="majorHAnsi" w:hAnsiTheme="majorHAnsi"/>
              </w:rPr>
            </w:pPr>
            <w:r w:rsidRPr="003F25EB">
              <w:rPr>
                <w:rFonts w:asciiTheme="majorHAnsi" w:hAnsiTheme="majorHAnsi"/>
              </w:rPr>
              <w:t>En exercice</w:t>
            </w:r>
          </w:p>
        </w:tc>
        <w:tc>
          <w:tcPr>
            <w:tcW w:w="1152" w:type="dxa"/>
          </w:tcPr>
          <w:p w14:paraId="494B89D2" w14:textId="2F4CC8CF" w:rsidR="00F0380E" w:rsidRPr="003F25EB" w:rsidRDefault="00F0380E" w:rsidP="00F0380E">
            <w:pPr>
              <w:jc w:val="right"/>
              <w:rPr>
                <w:rFonts w:asciiTheme="majorHAnsi" w:hAnsiTheme="majorHAnsi"/>
              </w:rPr>
            </w:pPr>
            <w:r>
              <w:rPr>
                <w:rFonts w:asciiTheme="majorHAnsi" w:hAnsiTheme="majorHAnsi"/>
              </w:rPr>
              <w:t>20</w:t>
            </w:r>
          </w:p>
        </w:tc>
        <w:tc>
          <w:tcPr>
            <w:tcW w:w="1622" w:type="dxa"/>
            <w:vMerge w:val="restart"/>
            <w:vAlign w:val="center"/>
          </w:tcPr>
          <w:p w14:paraId="71F32968" w14:textId="77777777" w:rsidR="00F0380E" w:rsidRPr="003F25EB" w:rsidRDefault="00F0380E" w:rsidP="003F25EB">
            <w:pPr>
              <w:jc w:val="both"/>
              <w:rPr>
                <w:rFonts w:asciiTheme="majorHAnsi" w:hAnsiTheme="majorHAnsi"/>
              </w:rPr>
            </w:pPr>
            <w:r w:rsidRPr="003F25EB">
              <w:rPr>
                <w:rFonts w:asciiTheme="majorHAnsi" w:hAnsiTheme="majorHAnsi"/>
              </w:rPr>
              <w:t>Vote</w:t>
            </w:r>
          </w:p>
        </w:tc>
        <w:tc>
          <w:tcPr>
            <w:tcW w:w="1492" w:type="dxa"/>
          </w:tcPr>
          <w:p w14:paraId="2660D078" w14:textId="77777777" w:rsidR="00F0380E" w:rsidRPr="003F25EB" w:rsidRDefault="00F0380E" w:rsidP="00F0380E">
            <w:pPr>
              <w:rPr>
                <w:rFonts w:asciiTheme="majorHAnsi" w:hAnsiTheme="majorHAnsi"/>
              </w:rPr>
            </w:pPr>
            <w:r w:rsidRPr="003F25EB">
              <w:rPr>
                <w:rFonts w:asciiTheme="majorHAnsi" w:hAnsiTheme="majorHAnsi"/>
              </w:rPr>
              <w:t>Refus de vote</w:t>
            </w:r>
          </w:p>
        </w:tc>
        <w:tc>
          <w:tcPr>
            <w:tcW w:w="1492" w:type="dxa"/>
          </w:tcPr>
          <w:p w14:paraId="18887F1B" w14:textId="235FBA66" w:rsidR="00F0380E" w:rsidRPr="003F25EB" w:rsidRDefault="00F0380E" w:rsidP="00F0380E">
            <w:pPr>
              <w:jc w:val="right"/>
              <w:rPr>
                <w:rFonts w:asciiTheme="majorHAnsi" w:hAnsiTheme="majorHAnsi"/>
              </w:rPr>
            </w:pPr>
            <w:r>
              <w:rPr>
                <w:rFonts w:asciiTheme="majorHAnsi" w:hAnsiTheme="majorHAnsi"/>
              </w:rPr>
              <w:t>0</w:t>
            </w:r>
          </w:p>
        </w:tc>
      </w:tr>
      <w:tr w:rsidR="00F0380E" w:rsidRPr="003F25EB" w14:paraId="2C41992B" w14:textId="77777777" w:rsidTr="00153029">
        <w:trPr>
          <w:trHeight w:val="244"/>
        </w:trPr>
        <w:tc>
          <w:tcPr>
            <w:tcW w:w="2303" w:type="dxa"/>
            <w:vMerge/>
          </w:tcPr>
          <w:p w14:paraId="3AF3A876" w14:textId="77777777" w:rsidR="00F0380E" w:rsidRPr="003F25EB" w:rsidRDefault="00F0380E" w:rsidP="003F25EB">
            <w:pPr>
              <w:jc w:val="both"/>
              <w:rPr>
                <w:rFonts w:asciiTheme="majorHAnsi" w:hAnsiTheme="majorHAnsi"/>
              </w:rPr>
            </w:pPr>
          </w:p>
        </w:tc>
        <w:tc>
          <w:tcPr>
            <w:tcW w:w="1188" w:type="dxa"/>
          </w:tcPr>
          <w:p w14:paraId="73F4AF0B" w14:textId="77777777" w:rsidR="00F0380E" w:rsidRPr="003F25EB" w:rsidRDefault="00F0380E" w:rsidP="003F25EB">
            <w:pPr>
              <w:jc w:val="both"/>
              <w:rPr>
                <w:rFonts w:asciiTheme="majorHAnsi" w:hAnsiTheme="majorHAnsi"/>
              </w:rPr>
            </w:pPr>
            <w:r w:rsidRPr="003F25EB">
              <w:rPr>
                <w:rFonts w:asciiTheme="majorHAnsi" w:hAnsiTheme="majorHAnsi"/>
              </w:rPr>
              <w:t>Présents</w:t>
            </w:r>
          </w:p>
        </w:tc>
        <w:tc>
          <w:tcPr>
            <w:tcW w:w="1152" w:type="dxa"/>
          </w:tcPr>
          <w:p w14:paraId="30929175" w14:textId="6BB15C9B" w:rsidR="00F0380E" w:rsidRPr="003F25EB" w:rsidRDefault="00F0380E" w:rsidP="00F0380E">
            <w:pPr>
              <w:jc w:val="right"/>
              <w:rPr>
                <w:rFonts w:asciiTheme="majorHAnsi" w:hAnsiTheme="majorHAnsi"/>
              </w:rPr>
            </w:pPr>
          </w:p>
        </w:tc>
        <w:tc>
          <w:tcPr>
            <w:tcW w:w="1622" w:type="dxa"/>
            <w:vMerge/>
          </w:tcPr>
          <w:p w14:paraId="01E30023" w14:textId="77777777" w:rsidR="00F0380E" w:rsidRPr="003F25EB" w:rsidRDefault="00F0380E" w:rsidP="003F25EB">
            <w:pPr>
              <w:jc w:val="both"/>
              <w:rPr>
                <w:rFonts w:asciiTheme="majorHAnsi" w:hAnsiTheme="majorHAnsi"/>
              </w:rPr>
            </w:pPr>
          </w:p>
        </w:tc>
        <w:tc>
          <w:tcPr>
            <w:tcW w:w="1492" w:type="dxa"/>
          </w:tcPr>
          <w:p w14:paraId="119DCC01" w14:textId="77777777" w:rsidR="00F0380E" w:rsidRPr="003F25EB" w:rsidRDefault="00F0380E" w:rsidP="00F0380E">
            <w:pPr>
              <w:rPr>
                <w:rFonts w:asciiTheme="majorHAnsi" w:hAnsiTheme="majorHAnsi"/>
              </w:rPr>
            </w:pPr>
            <w:r w:rsidRPr="003F25EB">
              <w:rPr>
                <w:rFonts w:asciiTheme="majorHAnsi" w:hAnsiTheme="majorHAnsi"/>
              </w:rPr>
              <w:t>Abstention</w:t>
            </w:r>
          </w:p>
        </w:tc>
        <w:tc>
          <w:tcPr>
            <w:tcW w:w="1492" w:type="dxa"/>
          </w:tcPr>
          <w:p w14:paraId="7C88EEE4" w14:textId="2A7E926E" w:rsidR="00F0380E" w:rsidRPr="003F25EB" w:rsidRDefault="00F0380E" w:rsidP="00F0380E">
            <w:pPr>
              <w:jc w:val="right"/>
              <w:rPr>
                <w:rFonts w:asciiTheme="majorHAnsi" w:hAnsiTheme="majorHAnsi"/>
              </w:rPr>
            </w:pPr>
            <w:r>
              <w:rPr>
                <w:rFonts w:asciiTheme="majorHAnsi" w:hAnsiTheme="majorHAnsi"/>
              </w:rPr>
              <w:t>0</w:t>
            </w:r>
          </w:p>
        </w:tc>
      </w:tr>
      <w:tr w:rsidR="00F0380E" w:rsidRPr="003F25EB" w14:paraId="4B6195E3" w14:textId="77777777" w:rsidTr="00153029">
        <w:trPr>
          <w:trHeight w:val="244"/>
        </w:trPr>
        <w:tc>
          <w:tcPr>
            <w:tcW w:w="2303" w:type="dxa"/>
            <w:vMerge/>
          </w:tcPr>
          <w:p w14:paraId="6B9DC63C" w14:textId="77777777" w:rsidR="00F0380E" w:rsidRPr="003F25EB" w:rsidRDefault="00F0380E" w:rsidP="003F25EB">
            <w:pPr>
              <w:jc w:val="both"/>
              <w:rPr>
                <w:rFonts w:asciiTheme="majorHAnsi" w:hAnsiTheme="majorHAnsi"/>
              </w:rPr>
            </w:pPr>
          </w:p>
        </w:tc>
        <w:tc>
          <w:tcPr>
            <w:tcW w:w="1188" w:type="dxa"/>
            <w:vMerge w:val="restart"/>
          </w:tcPr>
          <w:p w14:paraId="390B791C" w14:textId="77777777" w:rsidR="00F0380E" w:rsidRPr="003F25EB" w:rsidRDefault="00F0380E" w:rsidP="003F25EB">
            <w:pPr>
              <w:jc w:val="both"/>
              <w:rPr>
                <w:rFonts w:asciiTheme="majorHAnsi" w:hAnsiTheme="majorHAnsi"/>
              </w:rPr>
            </w:pPr>
            <w:r w:rsidRPr="003F25EB">
              <w:rPr>
                <w:rFonts w:asciiTheme="majorHAnsi" w:hAnsiTheme="majorHAnsi"/>
              </w:rPr>
              <w:t>représentés</w:t>
            </w:r>
          </w:p>
        </w:tc>
        <w:tc>
          <w:tcPr>
            <w:tcW w:w="1152" w:type="dxa"/>
            <w:vMerge w:val="restart"/>
          </w:tcPr>
          <w:p w14:paraId="1ECACDCE" w14:textId="0E3A92F5" w:rsidR="00F0380E" w:rsidRPr="003F25EB" w:rsidRDefault="00F0380E" w:rsidP="00F0380E">
            <w:pPr>
              <w:jc w:val="right"/>
              <w:rPr>
                <w:rFonts w:asciiTheme="majorHAnsi" w:hAnsiTheme="majorHAnsi"/>
              </w:rPr>
            </w:pPr>
          </w:p>
        </w:tc>
        <w:tc>
          <w:tcPr>
            <w:tcW w:w="1622" w:type="dxa"/>
            <w:vMerge/>
          </w:tcPr>
          <w:p w14:paraId="654621CA" w14:textId="77777777" w:rsidR="00F0380E" w:rsidRPr="003F25EB" w:rsidRDefault="00F0380E" w:rsidP="003F25EB">
            <w:pPr>
              <w:jc w:val="both"/>
              <w:rPr>
                <w:rFonts w:asciiTheme="majorHAnsi" w:hAnsiTheme="majorHAnsi"/>
              </w:rPr>
            </w:pPr>
          </w:p>
        </w:tc>
        <w:tc>
          <w:tcPr>
            <w:tcW w:w="1492" w:type="dxa"/>
          </w:tcPr>
          <w:p w14:paraId="6F025F06" w14:textId="77777777" w:rsidR="00F0380E" w:rsidRPr="003F25EB" w:rsidRDefault="00F0380E" w:rsidP="00F0380E">
            <w:pPr>
              <w:rPr>
                <w:rFonts w:asciiTheme="majorHAnsi" w:hAnsiTheme="majorHAnsi"/>
              </w:rPr>
            </w:pPr>
            <w:r w:rsidRPr="003F25EB">
              <w:rPr>
                <w:rFonts w:asciiTheme="majorHAnsi" w:hAnsiTheme="majorHAnsi"/>
              </w:rPr>
              <w:t>Contre</w:t>
            </w:r>
          </w:p>
        </w:tc>
        <w:tc>
          <w:tcPr>
            <w:tcW w:w="1492" w:type="dxa"/>
          </w:tcPr>
          <w:p w14:paraId="4E8B26F0" w14:textId="54C4425A" w:rsidR="00F0380E" w:rsidRPr="003F25EB" w:rsidRDefault="00F0380E" w:rsidP="00F0380E">
            <w:pPr>
              <w:jc w:val="right"/>
              <w:rPr>
                <w:rFonts w:asciiTheme="majorHAnsi" w:hAnsiTheme="majorHAnsi"/>
              </w:rPr>
            </w:pPr>
            <w:r>
              <w:rPr>
                <w:rFonts w:asciiTheme="majorHAnsi" w:hAnsiTheme="majorHAnsi"/>
              </w:rPr>
              <w:t>0</w:t>
            </w:r>
          </w:p>
        </w:tc>
      </w:tr>
      <w:tr w:rsidR="00F0380E" w:rsidRPr="003F25EB" w14:paraId="22D1D9CB" w14:textId="77777777" w:rsidTr="00153029">
        <w:trPr>
          <w:trHeight w:val="244"/>
        </w:trPr>
        <w:tc>
          <w:tcPr>
            <w:tcW w:w="2303" w:type="dxa"/>
            <w:vMerge/>
          </w:tcPr>
          <w:p w14:paraId="79BFF0FD" w14:textId="77777777" w:rsidR="00F0380E" w:rsidRPr="003F25EB" w:rsidRDefault="00F0380E" w:rsidP="003F25EB">
            <w:pPr>
              <w:jc w:val="both"/>
              <w:rPr>
                <w:rFonts w:asciiTheme="majorHAnsi" w:hAnsiTheme="majorHAnsi"/>
              </w:rPr>
            </w:pPr>
          </w:p>
        </w:tc>
        <w:tc>
          <w:tcPr>
            <w:tcW w:w="1188" w:type="dxa"/>
            <w:vMerge/>
          </w:tcPr>
          <w:p w14:paraId="4262C0B7" w14:textId="77777777" w:rsidR="00F0380E" w:rsidRPr="003F25EB" w:rsidRDefault="00F0380E" w:rsidP="003F25EB">
            <w:pPr>
              <w:jc w:val="both"/>
              <w:rPr>
                <w:rFonts w:asciiTheme="majorHAnsi" w:hAnsiTheme="majorHAnsi"/>
              </w:rPr>
            </w:pPr>
          </w:p>
        </w:tc>
        <w:tc>
          <w:tcPr>
            <w:tcW w:w="1152" w:type="dxa"/>
            <w:vMerge/>
          </w:tcPr>
          <w:p w14:paraId="538D1DB5" w14:textId="326E092D" w:rsidR="00F0380E" w:rsidRPr="003F25EB" w:rsidRDefault="00F0380E" w:rsidP="003F25EB">
            <w:pPr>
              <w:jc w:val="both"/>
              <w:rPr>
                <w:rFonts w:asciiTheme="majorHAnsi" w:hAnsiTheme="majorHAnsi"/>
              </w:rPr>
            </w:pPr>
          </w:p>
        </w:tc>
        <w:tc>
          <w:tcPr>
            <w:tcW w:w="1622" w:type="dxa"/>
            <w:vMerge/>
          </w:tcPr>
          <w:p w14:paraId="67B99612" w14:textId="77777777" w:rsidR="00F0380E" w:rsidRPr="003F25EB" w:rsidRDefault="00F0380E" w:rsidP="003F25EB">
            <w:pPr>
              <w:jc w:val="both"/>
              <w:rPr>
                <w:rFonts w:asciiTheme="majorHAnsi" w:hAnsiTheme="majorHAnsi"/>
              </w:rPr>
            </w:pPr>
          </w:p>
        </w:tc>
        <w:tc>
          <w:tcPr>
            <w:tcW w:w="1492" w:type="dxa"/>
          </w:tcPr>
          <w:p w14:paraId="11FC1190" w14:textId="77777777" w:rsidR="00F0380E" w:rsidRPr="003F25EB" w:rsidRDefault="00F0380E" w:rsidP="00F0380E">
            <w:pPr>
              <w:rPr>
                <w:rFonts w:asciiTheme="majorHAnsi" w:hAnsiTheme="majorHAnsi"/>
              </w:rPr>
            </w:pPr>
            <w:r w:rsidRPr="003F25EB">
              <w:rPr>
                <w:rFonts w:asciiTheme="majorHAnsi" w:hAnsiTheme="majorHAnsi"/>
              </w:rPr>
              <w:t>Pour</w:t>
            </w:r>
          </w:p>
        </w:tc>
        <w:tc>
          <w:tcPr>
            <w:tcW w:w="1492" w:type="dxa"/>
          </w:tcPr>
          <w:p w14:paraId="55BF3144" w14:textId="2BC8CB02" w:rsidR="00F0380E" w:rsidRPr="003F25EB" w:rsidRDefault="00F0380E" w:rsidP="00F0380E">
            <w:pPr>
              <w:jc w:val="right"/>
              <w:rPr>
                <w:rFonts w:asciiTheme="majorHAnsi" w:hAnsiTheme="majorHAnsi"/>
              </w:rPr>
            </w:pPr>
          </w:p>
        </w:tc>
      </w:tr>
      <w:tr w:rsidR="00F0380E" w:rsidRPr="003F25EB" w14:paraId="7B606BE1" w14:textId="77777777" w:rsidTr="00153029">
        <w:trPr>
          <w:trHeight w:val="245"/>
        </w:trPr>
        <w:tc>
          <w:tcPr>
            <w:tcW w:w="2303" w:type="dxa"/>
            <w:vMerge/>
          </w:tcPr>
          <w:p w14:paraId="679CFD49" w14:textId="77777777" w:rsidR="00F0380E" w:rsidRPr="003F25EB" w:rsidRDefault="00F0380E" w:rsidP="003F25EB">
            <w:pPr>
              <w:jc w:val="both"/>
              <w:rPr>
                <w:rFonts w:asciiTheme="majorHAnsi" w:hAnsiTheme="majorHAnsi"/>
              </w:rPr>
            </w:pPr>
          </w:p>
        </w:tc>
        <w:tc>
          <w:tcPr>
            <w:tcW w:w="1188" w:type="dxa"/>
            <w:vMerge/>
          </w:tcPr>
          <w:p w14:paraId="090F7E54" w14:textId="77777777" w:rsidR="00F0380E" w:rsidRPr="003F25EB" w:rsidRDefault="00F0380E" w:rsidP="003F25EB">
            <w:pPr>
              <w:jc w:val="both"/>
              <w:rPr>
                <w:rFonts w:asciiTheme="majorHAnsi" w:hAnsiTheme="majorHAnsi"/>
              </w:rPr>
            </w:pPr>
          </w:p>
        </w:tc>
        <w:tc>
          <w:tcPr>
            <w:tcW w:w="1152" w:type="dxa"/>
            <w:vMerge/>
          </w:tcPr>
          <w:p w14:paraId="0CADD0BC" w14:textId="4E756779" w:rsidR="00F0380E" w:rsidRPr="003F25EB" w:rsidRDefault="00F0380E" w:rsidP="003F25EB">
            <w:pPr>
              <w:jc w:val="both"/>
              <w:rPr>
                <w:rFonts w:asciiTheme="majorHAnsi" w:hAnsiTheme="majorHAnsi"/>
              </w:rPr>
            </w:pPr>
          </w:p>
        </w:tc>
        <w:tc>
          <w:tcPr>
            <w:tcW w:w="1622" w:type="dxa"/>
            <w:vMerge/>
          </w:tcPr>
          <w:p w14:paraId="032D6F67" w14:textId="77777777" w:rsidR="00F0380E" w:rsidRPr="003F25EB" w:rsidRDefault="00F0380E" w:rsidP="003F25EB">
            <w:pPr>
              <w:jc w:val="both"/>
              <w:rPr>
                <w:rFonts w:asciiTheme="majorHAnsi" w:hAnsiTheme="majorHAnsi"/>
              </w:rPr>
            </w:pPr>
          </w:p>
        </w:tc>
        <w:tc>
          <w:tcPr>
            <w:tcW w:w="1492" w:type="dxa"/>
          </w:tcPr>
          <w:p w14:paraId="1A50F828" w14:textId="77777777" w:rsidR="00F0380E" w:rsidRPr="003F25EB" w:rsidRDefault="00F0380E" w:rsidP="00F0380E">
            <w:pPr>
              <w:rPr>
                <w:rFonts w:asciiTheme="majorHAnsi" w:hAnsiTheme="majorHAnsi"/>
              </w:rPr>
            </w:pPr>
            <w:r w:rsidRPr="003F25EB">
              <w:rPr>
                <w:rFonts w:asciiTheme="majorHAnsi" w:hAnsiTheme="majorHAnsi"/>
              </w:rPr>
              <w:t>Ne se prononce pas</w:t>
            </w:r>
          </w:p>
        </w:tc>
        <w:tc>
          <w:tcPr>
            <w:tcW w:w="1492" w:type="dxa"/>
          </w:tcPr>
          <w:p w14:paraId="01177141" w14:textId="0F988ECE" w:rsidR="00F0380E" w:rsidRPr="003F25EB" w:rsidRDefault="00F0380E" w:rsidP="00F0380E">
            <w:pPr>
              <w:jc w:val="right"/>
              <w:rPr>
                <w:rFonts w:asciiTheme="majorHAnsi" w:hAnsiTheme="majorHAnsi"/>
              </w:rPr>
            </w:pPr>
            <w:r>
              <w:rPr>
                <w:rFonts w:asciiTheme="majorHAnsi" w:hAnsiTheme="majorHAnsi"/>
              </w:rPr>
              <w:t>0</w:t>
            </w:r>
          </w:p>
        </w:tc>
      </w:tr>
    </w:tbl>
    <w:p w14:paraId="3D17A073" w14:textId="77777777" w:rsidR="00AF34D6" w:rsidRPr="003F25EB" w:rsidRDefault="00AF34D6" w:rsidP="003F25EB">
      <w:pPr>
        <w:jc w:val="both"/>
        <w:rPr>
          <w:rFonts w:asciiTheme="majorHAnsi" w:hAnsiTheme="majorHAnsi"/>
        </w:rPr>
      </w:pPr>
    </w:p>
    <w:p w14:paraId="4E734367" w14:textId="77777777" w:rsidR="00D8353F" w:rsidRPr="003F25EB" w:rsidRDefault="00D8353F" w:rsidP="003F25EB">
      <w:pPr>
        <w:jc w:val="both"/>
        <w:rPr>
          <w:rFonts w:asciiTheme="majorHAnsi" w:hAnsiTheme="majorHAnsi"/>
        </w:rPr>
      </w:pPr>
    </w:p>
    <w:p w14:paraId="36EDA846" w14:textId="7B915396" w:rsidR="00D8353F" w:rsidRPr="003F25EB" w:rsidRDefault="00DA3DEA" w:rsidP="00F42011">
      <w:pPr>
        <w:pBdr>
          <w:top w:val="single" w:sz="4" w:space="1" w:color="auto"/>
          <w:left w:val="single" w:sz="4" w:space="4" w:color="auto"/>
          <w:bottom w:val="single" w:sz="4" w:space="1" w:color="auto"/>
          <w:right w:val="single" w:sz="4" w:space="4" w:color="auto"/>
        </w:pBdr>
        <w:jc w:val="both"/>
        <w:rPr>
          <w:rFonts w:asciiTheme="majorHAnsi" w:hAnsiTheme="majorHAnsi"/>
        </w:rPr>
      </w:pPr>
      <w:r>
        <w:rPr>
          <w:rFonts w:asciiTheme="majorHAnsi" w:hAnsiTheme="majorHAnsi"/>
          <w:b/>
        </w:rPr>
        <w:t>Délibération CD2016</w:t>
      </w:r>
      <w:r w:rsidR="00C12934">
        <w:rPr>
          <w:rFonts w:asciiTheme="majorHAnsi" w:hAnsiTheme="majorHAnsi"/>
          <w:b/>
        </w:rPr>
        <w:t>-07</w:t>
      </w:r>
      <w:r w:rsidR="00D8353F" w:rsidRPr="003F25EB">
        <w:rPr>
          <w:rFonts w:asciiTheme="majorHAnsi" w:hAnsiTheme="majorHAnsi"/>
          <w:b/>
        </w:rPr>
        <w:t> : approb</w:t>
      </w:r>
      <w:r>
        <w:rPr>
          <w:rFonts w:asciiTheme="majorHAnsi" w:hAnsiTheme="majorHAnsi"/>
          <w:b/>
        </w:rPr>
        <w:t xml:space="preserve">ation du </w:t>
      </w:r>
      <w:r w:rsidR="00C12934">
        <w:rPr>
          <w:rFonts w:asciiTheme="majorHAnsi" w:hAnsiTheme="majorHAnsi"/>
          <w:b/>
        </w:rPr>
        <w:t>budget initial 2017</w:t>
      </w:r>
      <w:r w:rsidR="00D8353F" w:rsidRPr="003F25EB">
        <w:rPr>
          <w:rFonts w:asciiTheme="majorHAnsi" w:hAnsiTheme="majorHAnsi"/>
          <w:b/>
        </w:rPr>
        <w:t xml:space="preserve"> du SCD</w:t>
      </w:r>
      <w:r w:rsidR="00AF34D6" w:rsidRPr="003F25EB">
        <w:rPr>
          <w:rFonts w:asciiTheme="majorHAnsi" w:hAnsiTheme="majorHAnsi"/>
          <w:b/>
        </w:rPr>
        <w:t xml:space="preserve"> </w:t>
      </w:r>
      <w:r w:rsidR="00AF34D6" w:rsidRPr="003F25EB">
        <w:rPr>
          <w:rFonts w:asciiTheme="majorHAnsi" w:hAnsiTheme="majorHAnsi"/>
        </w:rPr>
        <w:t xml:space="preserve">(ANNEXE 2 : </w:t>
      </w:r>
      <w:r w:rsidR="00C12934">
        <w:rPr>
          <w:rFonts w:asciiTheme="majorHAnsi" w:hAnsiTheme="majorHAnsi"/>
        </w:rPr>
        <w:t>BI 2017</w:t>
      </w:r>
      <w:r w:rsidR="00AF34D6" w:rsidRPr="003F25EB">
        <w:rPr>
          <w:rFonts w:asciiTheme="majorHAnsi" w:hAnsiTheme="majorHAnsi"/>
        </w:rPr>
        <w:t>)</w:t>
      </w:r>
    </w:p>
    <w:p w14:paraId="565D67CF" w14:textId="77777777" w:rsidR="00D8353F" w:rsidRPr="003F25EB" w:rsidRDefault="00D8353F" w:rsidP="003F25EB">
      <w:pPr>
        <w:jc w:val="both"/>
        <w:rPr>
          <w:rFonts w:asciiTheme="majorHAnsi" w:hAnsiTheme="majorHAnsi"/>
        </w:rPr>
      </w:pPr>
    </w:p>
    <w:p w14:paraId="58645CFE" w14:textId="740FC372" w:rsidR="00D8353F" w:rsidRPr="003F25EB" w:rsidRDefault="00D8353F" w:rsidP="003F25EB">
      <w:pPr>
        <w:jc w:val="both"/>
        <w:rPr>
          <w:rFonts w:asciiTheme="majorHAnsi" w:hAnsiTheme="majorHAnsi"/>
        </w:rPr>
      </w:pPr>
      <w:r w:rsidRPr="003F25EB">
        <w:rPr>
          <w:rFonts w:asciiTheme="majorHAnsi" w:hAnsiTheme="majorHAnsi"/>
        </w:rPr>
        <w:t xml:space="preserve">Après présentation du </w:t>
      </w:r>
      <w:r w:rsidR="00C12934">
        <w:rPr>
          <w:rFonts w:asciiTheme="majorHAnsi" w:hAnsiTheme="majorHAnsi"/>
        </w:rPr>
        <w:t>budget initial 2017 (recettes et dépenses)</w:t>
      </w:r>
      <w:r w:rsidR="00DA37AD">
        <w:rPr>
          <w:rFonts w:asciiTheme="majorHAnsi" w:hAnsiTheme="majorHAnsi"/>
        </w:rPr>
        <w:t xml:space="preserve"> </w:t>
      </w:r>
      <w:r w:rsidRPr="003F25EB">
        <w:rPr>
          <w:rFonts w:asciiTheme="majorHAnsi" w:hAnsiTheme="majorHAnsi"/>
        </w:rPr>
        <w:t>du SCD de l’UBO par le directeur, il est proposé au Conseil documentaire de l’approuver.</w:t>
      </w:r>
    </w:p>
    <w:p w14:paraId="1D507296" w14:textId="77777777" w:rsidR="00D8353F" w:rsidRPr="003F25EB" w:rsidRDefault="00D8353F" w:rsidP="003F25EB">
      <w:pPr>
        <w:jc w:val="both"/>
        <w:rPr>
          <w:rFonts w:asciiTheme="majorHAnsi" w:hAnsiTheme="majorHAnsi"/>
        </w:rPr>
      </w:pPr>
    </w:p>
    <w:tbl>
      <w:tblPr>
        <w:tblStyle w:val="Grille"/>
        <w:tblW w:w="0" w:type="auto"/>
        <w:tblLook w:val="01E0" w:firstRow="1" w:lastRow="1" w:firstColumn="1" w:lastColumn="1" w:noHBand="0" w:noVBand="0"/>
      </w:tblPr>
      <w:tblGrid>
        <w:gridCol w:w="2303"/>
        <w:gridCol w:w="1188"/>
        <w:gridCol w:w="1152"/>
        <w:gridCol w:w="1622"/>
        <w:gridCol w:w="1492"/>
        <w:gridCol w:w="1492"/>
      </w:tblGrid>
      <w:tr w:rsidR="00F0380E" w:rsidRPr="003F25EB" w14:paraId="362621AE" w14:textId="77777777" w:rsidTr="00153029">
        <w:trPr>
          <w:trHeight w:val="244"/>
        </w:trPr>
        <w:tc>
          <w:tcPr>
            <w:tcW w:w="2303" w:type="dxa"/>
            <w:vMerge w:val="restart"/>
            <w:vAlign w:val="center"/>
          </w:tcPr>
          <w:p w14:paraId="6CBA015D" w14:textId="77777777" w:rsidR="00F0380E" w:rsidRPr="003F25EB" w:rsidRDefault="00F0380E" w:rsidP="00153029">
            <w:pPr>
              <w:jc w:val="both"/>
              <w:rPr>
                <w:rFonts w:asciiTheme="majorHAnsi" w:hAnsiTheme="majorHAnsi"/>
              </w:rPr>
            </w:pPr>
            <w:r w:rsidRPr="003F25EB">
              <w:rPr>
                <w:rFonts w:asciiTheme="majorHAnsi" w:hAnsiTheme="majorHAnsi"/>
              </w:rPr>
              <w:t>Membres</w:t>
            </w:r>
          </w:p>
        </w:tc>
        <w:tc>
          <w:tcPr>
            <w:tcW w:w="1188" w:type="dxa"/>
          </w:tcPr>
          <w:p w14:paraId="36D34AD1" w14:textId="77777777" w:rsidR="00F0380E" w:rsidRPr="003F25EB" w:rsidRDefault="00F0380E" w:rsidP="00153029">
            <w:pPr>
              <w:jc w:val="both"/>
              <w:rPr>
                <w:rFonts w:asciiTheme="majorHAnsi" w:hAnsiTheme="majorHAnsi"/>
              </w:rPr>
            </w:pPr>
            <w:r w:rsidRPr="003F25EB">
              <w:rPr>
                <w:rFonts w:asciiTheme="majorHAnsi" w:hAnsiTheme="majorHAnsi"/>
              </w:rPr>
              <w:t>En exercice</w:t>
            </w:r>
          </w:p>
        </w:tc>
        <w:tc>
          <w:tcPr>
            <w:tcW w:w="1152" w:type="dxa"/>
          </w:tcPr>
          <w:p w14:paraId="62E9FB7B" w14:textId="77777777" w:rsidR="00F0380E" w:rsidRPr="003F25EB" w:rsidRDefault="00F0380E" w:rsidP="00153029">
            <w:pPr>
              <w:jc w:val="right"/>
              <w:rPr>
                <w:rFonts w:asciiTheme="majorHAnsi" w:hAnsiTheme="majorHAnsi"/>
              </w:rPr>
            </w:pPr>
            <w:r>
              <w:rPr>
                <w:rFonts w:asciiTheme="majorHAnsi" w:hAnsiTheme="majorHAnsi"/>
              </w:rPr>
              <w:t>20</w:t>
            </w:r>
          </w:p>
        </w:tc>
        <w:tc>
          <w:tcPr>
            <w:tcW w:w="1622" w:type="dxa"/>
            <w:vMerge w:val="restart"/>
            <w:vAlign w:val="center"/>
          </w:tcPr>
          <w:p w14:paraId="4561896E" w14:textId="77777777" w:rsidR="00F0380E" w:rsidRPr="003F25EB" w:rsidRDefault="00F0380E" w:rsidP="00153029">
            <w:pPr>
              <w:jc w:val="both"/>
              <w:rPr>
                <w:rFonts w:asciiTheme="majorHAnsi" w:hAnsiTheme="majorHAnsi"/>
              </w:rPr>
            </w:pPr>
            <w:r w:rsidRPr="003F25EB">
              <w:rPr>
                <w:rFonts w:asciiTheme="majorHAnsi" w:hAnsiTheme="majorHAnsi"/>
              </w:rPr>
              <w:t>Vote</w:t>
            </w:r>
          </w:p>
        </w:tc>
        <w:tc>
          <w:tcPr>
            <w:tcW w:w="1492" w:type="dxa"/>
          </w:tcPr>
          <w:p w14:paraId="49E22271" w14:textId="77777777" w:rsidR="00F0380E" w:rsidRPr="003F25EB" w:rsidRDefault="00F0380E" w:rsidP="00153029">
            <w:pPr>
              <w:rPr>
                <w:rFonts w:asciiTheme="majorHAnsi" w:hAnsiTheme="majorHAnsi"/>
              </w:rPr>
            </w:pPr>
            <w:r w:rsidRPr="003F25EB">
              <w:rPr>
                <w:rFonts w:asciiTheme="majorHAnsi" w:hAnsiTheme="majorHAnsi"/>
              </w:rPr>
              <w:t>Refus de vote</w:t>
            </w:r>
          </w:p>
        </w:tc>
        <w:tc>
          <w:tcPr>
            <w:tcW w:w="1492" w:type="dxa"/>
          </w:tcPr>
          <w:p w14:paraId="03502EF5" w14:textId="77777777" w:rsidR="00F0380E" w:rsidRPr="003F25EB" w:rsidRDefault="00F0380E" w:rsidP="00153029">
            <w:pPr>
              <w:jc w:val="right"/>
              <w:rPr>
                <w:rFonts w:asciiTheme="majorHAnsi" w:hAnsiTheme="majorHAnsi"/>
              </w:rPr>
            </w:pPr>
            <w:r>
              <w:rPr>
                <w:rFonts w:asciiTheme="majorHAnsi" w:hAnsiTheme="majorHAnsi"/>
              </w:rPr>
              <w:t>0</w:t>
            </w:r>
          </w:p>
        </w:tc>
      </w:tr>
      <w:tr w:rsidR="00F0380E" w:rsidRPr="003F25EB" w14:paraId="5FC0AB53" w14:textId="77777777" w:rsidTr="00153029">
        <w:trPr>
          <w:trHeight w:val="244"/>
        </w:trPr>
        <w:tc>
          <w:tcPr>
            <w:tcW w:w="2303" w:type="dxa"/>
            <w:vMerge/>
          </w:tcPr>
          <w:p w14:paraId="6FE6DE49" w14:textId="77777777" w:rsidR="00F0380E" w:rsidRPr="003F25EB" w:rsidRDefault="00F0380E" w:rsidP="00153029">
            <w:pPr>
              <w:jc w:val="both"/>
              <w:rPr>
                <w:rFonts w:asciiTheme="majorHAnsi" w:hAnsiTheme="majorHAnsi"/>
              </w:rPr>
            </w:pPr>
          </w:p>
        </w:tc>
        <w:tc>
          <w:tcPr>
            <w:tcW w:w="1188" w:type="dxa"/>
          </w:tcPr>
          <w:p w14:paraId="06EA91B5" w14:textId="77777777" w:rsidR="00F0380E" w:rsidRPr="003F25EB" w:rsidRDefault="00F0380E" w:rsidP="00153029">
            <w:pPr>
              <w:jc w:val="both"/>
              <w:rPr>
                <w:rFonts w:asciiTheme="majorHAnsi" w:hAnsiTheme="majorHAnsi"/>
              </w:rPr>
            </w:pPr>
            <w:r w:rsidRPr="003F25EB">
              <w:rPr>
                <w:rFonts w:asciiTheme="majorHAnsi" w:hAnsiTheme="majorHAnsi"/>
              </w:rPr>
              <w:t>Présents</w:t>
            </w:r>
          </w:p>
        </w:tc>
        <w:tc>
          <w:tcPr>
            <w:tcW w:w="1152" w:type="dxa"/>
          </w:tcPr>
          <w:p w14:paraId="6FE4718B" w14:textId="2B7053E4" w:rsidR="00F0380E" w:rsidRPr="003F25EB" w:rsidRDefault="00F0380E" w:rsidP="00153029">
            <w:pPr>
              <w:jc w:val="right"/>
              <w:rPr>
                <w:rFonts w:asciiTheme="majorHAnsi" w:hAnsiTheme="majorHAnsi"/>
              </w:rPr>
            </w:pPr>
          </w:p>
        </w:tc>
        <w:tc>
          <w:tcPr>
            <w:tcW w:w="1622" w:type="dxa"/>
            <w:vMerge/>
          </w:tcPr>
          <w:p w14:paraId="29E4C274" w14:textId="77777777" w:rsidR="00F0380E" w:rsidRPr="003F25EB" w:rsidRDefault="00F0380E" w:rsidP="00153029">
            <w:pPr>
              <w:jc w:val="both"/>
              <w:rPr>
                <w:rFonts w:asciiTheme="majorHAnsi" w:hAnsiTheme="majorHAnsi"/>
              </w:rPr>
            </w:pPr>
          </w:p>
        </w:tc>
        <w:tc>
          <w:tcPr>
            <w:tcW w:w="1492" w:type="dxa"/>
          </w:tcPr>
          <w:p w14:paraId="4804B7C7" w14:textId="77777777" w:rsidR="00F0380E" w:rsidRPr="003F25EB" w:rsidRDefault="00F0380E" w:rsidP="00153029">
            <w:pPr>
              <w:rPr>
                <w:rFonts w:asciiTheme="majorHAnsi" w:hAnsiTheme="majorHAnsi"/>
              </w:rPr>
            </w:pPr>
            <w:r w:rsidRPr="003F25EB">
              <w:rPr>
                <w:rFonts w:asciiTheme="majorHAnsi" w:hAnsiTheme="majorHAnsi"/>
              </w:rPr>
              <w:t>Abstention</w:t>
            </w:r>
          </w:p>
        </w:tc>
        <w:tc>
          <w:tcPr>
            <w:tcW w:w="1492" w:type="dxa"/>
          </w:tcPr>
          <w:p w14:paraId="780B2CC0" w14:textId="77777777" w:rsidR="00F0380E" w:rsidRPr="003F25EB" w:rsidRDefault="00F0380E" w:rsidP="00153029">
            <w:pPr>
              <w:jc w:val="right"/>
              <w:rPr>
                <w:rFonts w:asciiTheme="majorHAnsi" w:hAnsiTheme="majorHAnsi"/>
              </w:rPr>
            </w:pPr>
            <w:r>
              <w:rPr>
                <w:rFonts w:asciiTheme="majorHAnsi" w:hAnsiTheme="majorHAnsi"/>
              </w:rPr>
              <w:t>0</w:t>
            </w:r>
          </w:p>
        </w:tc>
      </w:tr>
      <w:tr w:rsidR="00F0380E" w:rsidRPr="003F25EB" w14:paraId="2D3123CD" w14:textId="77777777" w:rsidTr="00153029">
        <w:trPr>
          <w:trHeight w:val="244"/>
        </w:trPr>
        <w:tc>
          <w:tcPr>
            <w:tcW w:w="2303" w:type="dxa"/>
            <w:vMerge/>
          </w:tcPr>
          <w:p w14:paraId="7D796671" w14:textId="77777777" w:rsidR="00F0380E" w:rsidRPr="003F25EB" w:rsidRDefault="00F0380E" w:rsidP="00153029">
            <w:pPr>
              <w:jc w:val="both"/>
              <w:rPr>
                <w:rFonts w:asciiTheme="majorHAnsi" w:hAnsiTheme="majorHAnsi"/>
              </w:rPr>
            </w:pPr>
          </w:p>
        </w:tc>
        <w:tc>
          <w:tcPr>
            <w:tcW w:w="1188" w:type="dxa"/>
            <w:vMerge w:val="restart"/>
          </w:tcPr>
          <w:p w14:paraId="355BEE58" w14:textId="77777777" w:rsidR="00F0380E" w:rsidRPr="003F25EB" w:rsidRDefault="00F0380E" w:rsidP="00153029">
            <w:pPr>
              <w:jc w:val="both"/>
              <w:rPr>
                <w:rFonts w:asciiTheme="majorHAnsi" w:hAnsiTheme="majorHAnsi"/>
              </w:rPr>
            </w:pPr>
            <w:r w:rsidRPr="003F25EB">
              <w:rPr>
                <w:rFonts w:asciiTheme="majorHAnsi" w:hAnsiTheme="majorHAnsi"/>
              </w:rPr>
              <w:t>représentés</w:t>
            </w:r>
          </w:p>
        </w:tc>
        <w:tc>
          <w:tcPr>
            <w:tcW w:w="1152" w:type="dxa"/>
            <w:vMerge w:val="restart"/>
          </w:tcPr>
          <w:p w14:paraId="22D37206" w14:textId="0F4F1B7C" w:rsidR="00F0380E" w:rsidRPr="003F25EB" w:rsidRDefault="00F0380E" w:rsidP="00153029">
            <w:pPr>
              <w:jc w:val="right"/>
              <w:rPr>
                <w:rFonts w:asciiTheme="majorHAnsi" w:hAnsiTheme="majorHAnsi"/>
              </w:rPr>
            </w:pPr>
          </w:p>
        </w:tc>
        <w:tc>
          <w:tcPr>
            <w:tcW w:w="1622" w:type="dxa"/>
            <w:vMerge/>
          </w:tcPr>
          <w:p w14:paraId="24CA11AB" w14:textId="77777777" w:rsidR="00F0380E" w:rsidRPr="003F25EB" w:rsidRDefault="00F0380E" w:rsidP="00153029">
            <w:pPr>
              <w:jc w:val="both"/>
              <w:rPr>
                <w:rFonts w:asciiTheme="majorHAnsi" w:hAnsiTheme="majorHAnsi"/>
              </w:rPr>
            </w:pPr>
          </w:p>
        </w:tc>
        <w:tc>
          <w:tcPr>
            <w:tcW w:w="1492" w:type="dxa"/>
          </w:tcPr>
          <w:p w14:paraId="77149D84" w14:textId="77777777" w:rsidR="00F0380E" w:rsidRPr="003F25EB" w:rsidRDefault="00F0380E" w:rsidP="00153029">
            <w:pPr>
              <w:rPr>
                <w:rFonts w:asciiTheme="majorHAnsi" w:hAnsiTheme="majorHAnsi"/>
              </w:rPr>
            </w:pPr>
            <w:r w:rsidRPr="003F25EB">
              <w:rPr>
                <w:rFonts w:asciiTheme="majorHAnsi" w:hAnsiTheme="majorHAnsi"/>
              </w:rPr>
              <w:t>Contre</w:t>
            </w:r>
          </w:p>
        </w:tc>
        <w:tc>
          <w:tcPr>
            <w:tcW w:w="1492" w:type="dxa"/>
          </w:tcPr>
          <w:p w14:paraId="6CEBCD55" w14:textId="77777777" w:rsidR="00F0380E" w:rsidRPr="003F25EB" w:rsidRDefault="00F0380E" w:rsidP="00153029">
            <w:pPr>
              <w:jc w:val="right"/>
              <w:rPr>
                <w:rFonts w:asciiTheme="majorHAnsi" w:hAnsiTheme="majorHAnsi"/>
              </w:rPr>
            </w:pPr>
            <w:r>
              <w:rPr>
                <w:rFonts w:asciiTheme="majorHAnsi" w:hAnsiTheme="majorHAnsi"/>
              </w:rPr>
              <w:t>0</w:t>
            </w:r>
          </w:p>
        </w:tc>
      </w:tr>
      <w:tr w:rsidR="00F0380E" w:rsidRPr="003F25EB" w14:paraId="19C07F6C" w14:textId="77777777" w:rsidTr="00153029">
        <w:trPr>
          <w:trHeight w:val="244"/>
        </w:trPr>
        <w:tc>
          <w:tcPr>
            <w:tcW w:w="2303" w:type="dxa"/>
            <w:vMerge/>
          </w:tcPr>
          <w:p w14:paraId="513734EE" w14:textId="77777777" w:rsidR="00F0380E" w:rsidRPr="003F25EB" w:rsidRDefault="00F0380E" w:rsidP="00153029">
            <w:pPr>
              <w:jc w:val="both"/>
              <w:rPr>
                <w:rFonts w:asciiTheme="majorHAnsi" w:hAnsiTheme="majorHAnsi"/>
              </w:rPr>
            </w:pPr>
          </w:p>
        </w:tc>
        <w:tc>
          <w:tcPr>
            <w:tcW w:w="1188" w:type="dxa"/>
            <w:vMerge/>
          </w:tcPr>
          <w:p w14:paraId="4DF676E9" w14:textId="77777777" w:rsidR="00F0380E" w:rsidRPr="003F25EB" w:rsidRDefault="00F0380E" w:rsidP="00153029">
            <w:pPr>
              <w:jc w:val="both"/>
              <w:rPr>
                <w:rFonts w:asciiTheme="majorHAnsi" w:hAnsiTheme="majorHAnsi"/>
              </w:rPr>
            </w:pPr>
          </w:p>
        </w:tc>
        <w:tc>
          <w:tcPr>
            <w:tcW w:w="1152" w:type="dxa"/>
            <w:vMerge/>
          </w:tcPr>
          <w:p w14:paraId="033CAA6E" w14:textId="77777777" w:rsidR="00F0380E" w:rsidRPr="003F25EB" w:rsidRDefault="00F0380E" w:rsidP="00153029">
            <w:pPr>
              <w:jc w:val="both"/>
              <w:rPr>
                <w:rFonts w:asciiTheme="majorHAnsi" w:hAnsiTheme="majorHAnsi"/>
              </w:rPr>
            </w:pPr>
          </w:p>
        </w:tc>
        <w:tc>
          <w:tcPr>
            <w:tcW w:w="1622" w:type="dxa"/>
            <w:vMerge/>
          </w:tcPr>
          <w:p w14:paraId="4962F303" w14:textId="77777777" w:rsidR="00F0380E" w:rsidRPr="003F25EB" w:rsidRDefault="00F0380E" w:rsidP="00153029">
            <w:pPr>
              <w:jc w:val="both"/>
              <w:rPr>
                <w:rFonts w:asciiTheme="majorHAnsi" w:hAnsiTheme="majorHAnsi"/>
              </w:rPr>
            </w:pPr>
          </w:p>
        </w:tc>
        <w:tc>
          <w:tcPr>
            <w:tcW w:w="1492" w:type="dxa"/>
          </w:tcPr>
          <w:p w14:paraId="741184A5" w14:textId="77777777" w:rsidR="00F0380E" w:rsidRPr="003F25EB" w:rsidRDefault="00F0380E" w:rsidP="00153029">
            <w:pPr>
              <w:rPr>
                <w:rFonts w:asciiTheme="majorHAnsi" w:hAnsiTheme="majorHAnsi"/>
              </w:rPr>
            </w:pPr>
            <w:r w:rsidRPr="003F25EB">
              <w:rPr>
                <w:rFonts w:asciiTheme="majorHAnsi" w:hAnsiTheme="majorHAnsi"/>
              </w:rPr>
              <w:t>Pour</w:t>
            </w:r>
          </w:p>
        </w:tc>
        <w:tc>
          <w:tcPr>
            <w:tcW w:w="1492" w:type="dxa"/>
          </w:tcPr>
          <w:p w14:paraId="5F1A9484" w14:textId="14C80BB8" w:rsidR="00F0380E" w:rsidRPr="003F25EB" w:rsidRDefault="00F0380E" w:rsidP="00153029">
            <w:pPr>
              <w:jc w:val="right"/>
              <w:rPr>
                <w:rFonts w:asciiTheme="majorHAnsi" w:hAnsiTheme="majorHAnsi"/>
              </w:rPr>
            </w:pPr>
          </w:p>
        </w:tc>
      </w:tr>
      <w:tr w:rsidR="00F0380E" w:rsidRPr="003F25EB" w14:paraId="73D999A6" w14:textId="77777777" w:rsidTr="00153029">
        <w:trPr>
          <w:trHeight w:val="245"/>
        </w:trPr>
        <w:tc>
          <w:tcPr>
            <w:tcW w:w="2303" w:type="dxa"/>
            <w:vMerge/>
          </w:tcPr>
          <w:p w14:paraId="08E50231" w14:textId="77777777" w:rsidR="00F0380E" w:rsidRPr="003F25EB" w:rsidRDefault="00F0380E" w:rsidP="00153029">
            <w:pPr>
              <w:jc w:val="both"/>
              <w:rPr>
                <w:rFonts w:asciiTheme="majorHAnsi" w:hAnsiTheme="majorHAnsi"/>
              </w:rPr>
            </w:pPr>
          </w:p>
        </w:tc>
        <w:tc>
          <w:tcPr>
            <w:tcW w:w="1188" w:type="dxa"/>
            <w:vMerge/>
          </w:tcPr>
          <w:p w14:paraId="5491CEDE" w14:textId="77777777" w:rsidR="00F0380E" w:rsidRPr="003F25EB" w:rsidRDefault="00F0380E" w:rsidP="00153029">
            <w:pPr>
              <w:jc w:val="both"/>
              <w:rPr>
                <w:rFonts w:asciiTheme="majorHAnsi" w:hAnsiTheme="majorHAnsi"/>
              </w:rPr>
            </w:pPr>
          </w:p>
        </w:tc>
        <w:tc>
          <w:tcPr>
            <w:tcW w:w="1152" w:type="dxa"/>
            <w:vMerge/>
          </w:tcPr>
          <w:p w14:paraId="78B9F5E8" w14:textId="77777777" w:rsidR="00F0380E" w:rsidRPr="003F25EB" w:rsidRDefault="00F0380E" w:rsidP="00153029">
            <w:pPr>
              <w:jc w:val="both"/>
              <w:rPr>
                <w:rFonts w:asciiTheme="majorHAnsi" w:hAnsiTheme="majorHAnsi"/>
              </w:rPr>
            </w:pPr>
          </w:p>
        </w:tc>
        <w:tc>
          <w:tcPr>
            <w:tcW w:w="1622" w:type="dxa"/>
            <w:vMerge/>
          </w:tcPr>
          <w:p w14:paraId="111BCEA1" w14:textId="77777777" w:rsidR="00F0380E" w:rsidRPr="003F25EB" w:rsidRDefault="00F0380E" w:rsidP="00153029">
            <w:pPr>
              <w:jc w:val="both"/>
              <w:rPr>
                <w:rFonts w:asciiTheme="majorHAnsi" w:hAnsiTheme="majorHAnsi"/>
              </w:rPr>
            </w:pPr>
          </w:p>
        </w:tc>
        <w:tc>
          <w:tcPr>
            <w:tcW w:w="1492" w:type="dxa"/>
          </w:tcPr>
          <w:p w14:paraId="72D2A803" w14:textId="77777777" w:rsidR="00F0380E" w:rsidRPr="003F25EB" w:rsidRDefault="00F0380E" w:rsidP="00153029">
            <w:pPr>
              <w:rPr>
                <w:rFonts w:asciiTheme="majorHAnsi" w:hAnsiTheme="majorHAnsi"/>
              </w:rPr>
            </w:pPr>
            <w:r w:rsidRPr="003F25EB">
              <w:rPr>
                <w:rFonts w:asciiTheme="majorHAnsi" w:hAnsiTheme="majorHAnsi"/>
              </w:rPr>
              <w:t>Ne se prononce pas</w:t>
            </w:r>
          </w:p>
        </w:tc>
        <w:tc>
          <w:tcPr>
            <w:tcW w:w="1492" w:type="dxa"/>
          </w:tcPr>
          <w:p w14:paraId="16847DC5" w14:textId="77777777" w:rsidR="00F0380E" w:rsidRPr="003F25EB" w:rsidRDefault="00F0380E" w:rsidP="00153029">
            <w:pPr>
              <w:jc w:val="right"/>
              <w:rPr>
                <w:rFonts w:asciiTheme="majorHAnsi" w:hAnsiTheme="majorHAnsi"/>
              </w:rPr>
            </w:pPr>
            <w:r>
              <w:rPr>
                <w:rFonts w:asciiTheme="majorHAnsi" w:hAnsiTheme="majorHAnsi"/>
              </w:rPr>
              <w:t>0</w:t>
            </w:r>
          </w:p>
        </w:tc>
      </w:tr>
    </w:tbl>
    <w:p w14:paraId="08C67228" w14:textId="77777777" w:rsidR="00D8353F" w:rsidRPr="003F25EB" w:rsidRDefault="00D8353F" w:rsidP="003F25EB">
      <w:pPr>
        <w:jc w:val="both"/>
        <w:rPr>
          <w:rFonts w:asciiTheme="majorHAnsi" w:hAnsiTheme="majorHAnsi"/>
        </w:rPr>
      </w:pPr>
    </w:p>
    <w:p w14:paraId="40161C4F" w14:textId="77777777" w:rsidR="00AF34D6" w:rsidRPr="003F25EB" w:rsidRDefault="00AF34D6" w:rsidP="003F25EB">
      <w:pPr>
        <w:jc w:val="both"/>
        <w:rPr>
          <w:rFonts w:asciiTheme="majorHAnsi" w:hAnsiTheme="majorHAnsi"/>
          <w:b/>
        </w:rPr>
      </w:pPr>
    </w:p>
    <w:p w14:paraId="303E9680" w14:textId="7C680F0A" w:rsidR="00DA3DEA" w:rsidRPr="00742364" w:rsidRDefault="00DA3DEA" w:rsidP="00742364">
      <w:pPr>
        <w:pBdr>
          <w:top w:val="single" w:sz="4" w:space="1" w:color="auto"/>
          <w:left w:val="single" w:sz="4" w:space="4" w:color="auto"/>
          <w:bottom w:val="single" w:sz="4" w:space="1" w:color="auto"/>
          <w:right w:val="single" w:sz="4" w:space="4" w:color="auto"/>
        </w:pBdr>
        <w:jc w:val="both"/>
        <w:rPr>
          <w:rFonts w:asciiTheme="majorHAnsi" w:hAnsiTheme="majorHAnsi"/>
        </w:rPr>
      </w:pPr>
      <w:r>
        <w:rPr>
          <w:rFonts w:asciiTheme="majorHAnsi" w:hAnsiTheme="majorHAnsi"/>
          <w:b/>
        </w:rPr>
        <w:t>Délibération CD2016</w:t>
      </w:r>
      <w:r w:rsidR="00C12934">
        <w:rPr>
          <w:rFonts w:asciiTheme="majorHAnsi" w:hAnsiTheme="majorHAnsi"/>
          <w:b/>
        </w:rPr>
        <w:t>-08</w:t>
      </w:r>
      <w:r w:rsidR="00AF34D6" w:rsidRPr="003F25EB">
        <w:rPr>
          <w:rFonts w:asciiTheme="majorHAnsi" w:hAnsiTheme="majorHAnsi"/>
          <w:b/>
        </w:rPr>
        <w:t xml:space="preserve"> : </w:t>
      </w:r>
      <w:r w:rsidR="00C12934">
        <w:rPr>
          <w:rFonts w:asciiTheme="majorHAnsi" w:hAnsiTheme="majorHAnsi"/>
          <w:b/>
        </w:rPr>
        <w:t>fonctionnement des bibliothèques universitaires en soirée et le samedi</w:t>
      </w:r>
    </w:p>
    <w:p w14:paraId="32A9D900" w14:textId="77777777" w:rsidR="00DA3DEA" w:rsidRDefault="00DA3DEA" w:rsidP="003F25EB">
      <w:pPr>
        <w:widowControl w:val="0"/>
        <w:autoSpaceDE w:val="0"/>
        <w:autoSpaceDN w:val="0"/>
        <w:adjustRightInd w:val="0"/>
        <w:jc w:val="both"/>
        <w:rPr>
          <w:rFonts w:asciiTheme="majorHAnsi" w:hAnsiTheme="majorHAnsi" w:cs="Helvetica"/>
        </w:rPr>
      </w:pPr>
    </w:p>
    <w:p w14:paraId="13887498" w14:textId="25FF8B2C" w:rsidR="0039179A" w:rsidRPr="00017EF0" w:rsidRDefault="0039179A" w:rsidP="0039179A">
      <w:pPr>
        <w:widowControl w:val="0"/>
        <w:autoSpaceDE w:val="0"/>
        <w:autoSpaceDN w:val="0"/>
        <w:adjustRightInd w:val="0"/>
        <w:jc w:val="both"/>
        <w:rPr>
          <w:rFonts w:asciiTheme="majorHAnsi" w:hAnsiTheme="majorHAnsi" w:cs="Helvetica"/>
        </w:rPr>
      </w:pPr>
      <w:r>
        <w:rPr>
          <w:rFonts w:asciiTheme="majorHAnsi" w:hAnsiTheme="majorHAnsi" w:cs="Helvetica"/>
        </w:rPr>
        <w:t xml:space="preserve">Par délibération en date du 28 juin 2016, le Conseil documentaire a approuvé le principe de l’extension des horaires d’ouverture de la BU du </w:t>
      </w:r>
      <w:proofErr w:type="spellStart"/>
      <w:r>
        <w:rPr>
          <w:rFonts w:asciiTheme="majorHAnsi" w:hAnsiTheme="majorHAnsi" w:cs="Helvetica"/>
        </w:rPr>
        <w:t>Bouguen</w:t>
      </w:r>
      <w:proofErr w:type="spellEnd"/>
      <w:r>
        <w:rPr>
          <w:rFonts w:asciiTheme="majorHAnsi" w:hAnsiTheme="majorHAnsi" w:cs="Helvetica"/>
        </w:rPr>
        <w:t xml:space="preserve">, envisagée dans le cadre du Plan ministériel  « Bibliothèques ouvertes + ». Cette extension doit se traduire par </w:t>
      </w:r>
      <w:r w:rsidRPr="00017EF0">
        <w:rPr>
          <w:rFonts w:ascii="Calibri" w:hAnsi="Calibri" w:cs="Calibri"/>
        </w:rPr>
        <w:t xml:space="preserve">un alignement </w:t>
      </w:r>
      <w:r>
        <w:rPr>
          <w:rFonts w:ascii="Calibri" w:hAnsi="Calibri" w:cs="Calibri"/>
        </w:rPr>
        <w:t xml:space="preserve">des horaires de la BU du </w:t>
      </w:r>
      <w:proofErr w:type="spellStart"/>
      <w:r>
        <w:rPr>
          <w:rFonts w:ascii="Calibri" w:hAnsi="Calibri" w:cs="Calibri"/>
        </w:rPr>
        <w:t>Bouguen</w:t>
      </w:r>
      <w:proofErr w:type="spellEnd"/>
      <w:r>
        <w:rPr>
          <w:rFonts w:ascii="Calibri" w:hAnsi="Calibri" w:cs="Calibri"/>
        </w:rPr>
        <w:t xml:space="preserve"> </w:t>
      </w:r>
      <w:r w:rsidRPr="00017EF0">
        <w:rPr>
          <w:rFonts w:ascii="Calibri" w:hAnsi="Calibri" w:cs="Calibri"/>
        </w:rPr>
        <w:t xml:space="preserve">sur </w:t>
      </w:r>
      <w:r>
        <w:rPr>
          <w:rFonts w:ascii="Calibri" w:hAnsi="Calibri" w:cs="Calibri"/>
        </w:rPr>
        <w:t>ceux</w:t>
      </w:r>
      <w:r w:rsidRPr="00017EF0">
        <w:rPr>
          <w:rFonts w:ascii="Calibri" w:hAnsi="Calibri" w:cs="Calibri"/>
        </w:rPr>
        <w:t xml:space="preserve"> des BU Lettres et Santé : du lundi au jeudi jusqu'à 22h (fermeture de la BU </w:t>
      </w:r>
      <w:proofErr w:type="spellStart"/>
      <w:r w:rsidRPr="00017EF0">
        <w:rPr>
          <w:rFonts w:ascii="Calibri" w:hAnsi="Calibri" w:cs="Calibri"/>
        </w:rPr>
        <w:t>Bouguen</w:t>
      </w:r>
      <w:proofErr w:type="spellEnd"/>
      <w:r w:rsidRPr="00017EF0">
        <w:rPr>
          <w:rFonts w:ascii="Calibri" w:hAnsi="Calibri" w:cs="Calibri"/>
        </w:rPr>
        <w:t xml:space="preserve"> à 19h actuellement), le samedi après-midi jusqu'à 17h (fermeture à 13h actuellement).</w:t>
      </w:r>
    </w:p>
    <w:p w14:paraId="74ED9507" w14:textId="77777777" w:rsidR="0039179A" w:rsidRDefault="0039179A" w:rsidP="0039179A">
      <w:pPr>
        <w:widowControl w:val="0"/>
        <w:autoSpaceDE w:val="0"/>
        <w:autoSpaceDN w:val="0"/>
        <w:adjustRightInd w:val="0"/>
        <w:jc w:val="both"/>
        <w:rPr>
          <w:rFonts w:asciiTheme="majorHAnsi" w:hAnsiTheme="majorHAnsi" w:cs="Helvetica"/>
        </w:rPr>
      </w:pPr>
    </w:p>
    <w:p w14:paraId="597B1505" w14:textId="1BFDE019" w:rsidR="0039179A" w:rsidRDefault="0039179A" w:rsidP="0039179A">
      <w:pPr>
        <w:widowControl w:val="0"/>
        <w:autoSpaceDE w:val="0"/>
        <w:autoSpaceDN w:val="0"/>
        <w:adjustRightInd w:val="0"/>
        <w:jc w:val="both"/>
        <w:rPr>
          <w:rFonts w:asciiTheme="majorHAnsi" w:hAnsiTheme="majorHAnsi" w:cs="Helvetica"/>
        </w:rPr>
      </w:pPr>
      <w:r>
        <w:rPr>
          <w:rFonts w:asciiTheme="majorHAnsi" w:hAnsiTheme="majorHAnsi" w:cs="Helvetica"/>
        </w:rPr>
        <w:t xml:space="preserve">A la faveur de ce projet d’extension horaire, une réflexion a été menée afin d’optimiser et d’harmoniser les modalités de fonctionnement des trois sites ouverts en soirée et le samedi (BU Lettres, BU Santé et BU du </w:t>
      </w:r>
      <w:proofErr w:type="spellStart"/>
      <w:r>
        <w:rPr>
          <w:rFonts w:asciiTheme="majorHAnsi" w:hAnsiTheme="majorHAnsi" w:cs="Helvetica"/>
        </w:rPr>
        <w:t>Bouguen</w:t>
      </w:r>
      <w:proofErr w:type="spellEnd"/>
      <w:r>
        <w:rPr>
          <w:rFonts w:asciiTheme="majorHAnsi" w:hAnsiTheme="majorHAnsi" w:cs="Helvetica"/>
        </w:rPr>
        <w:t>). Le fonctionnement actuel, reposant 1) sur le recours à des moniteurs, 2) sur des agents titulaires volontaires en soirée et le samedi après-midi, et 3) sur une obligation de service le samedi matin, s’avère en effet relativement fragile à terme :</w:t>
      </w:r>
    </w:p>
    <w:p w14:paraId="61E234CF" w14:textId="77777777" w:rsidR="0039179A" w:rsidRPr="0056281C" w:rsidRDefault="0039179A" w:rsidP="0039179A">
      <w:pPr>
        <w:pStyle w:val="Paragraphedeliste"/>
        <w:widowControl w:val="0"/>
        <w:numPr>
          <w:ilvl w:val="0"/>
          <w:numId w:val="7"/>
        </w:numPr>
        <w:autoSpaceDE w:val="0"/>
        <w:autoSpaceDN w:val="0"/>
        <w:adjustRightInd w:val="0"/>
        <w:jc w:val="both"/>
        <w:rPr>
          <w:rFonts w:asciiTheme="majorHAnsi" w:hAnsiTheme="majorHAnsi" w:cs="Helvetica"/>
        </w:rPr>
      </w:pPr>
      <w:r w:rsidRPr="0056281C">
        <w:rPr>
          <w:rFonts w:asciiTheme="majorHAnsi" w:hAnsiTheme="majorHAnsi" w:cs="Helvetica"/>
        </w:rPr>
        <w:t>coût important pour le SCD</w:t>
      </w:r>
    </w:p>
    <w:p w14:paraId="3E10DACA" w14:textId="77777777" w:rsidR="0039179A" w:rsidRDefault="0039179A" w:rsidP="0039179A">
      <w:pPr>
        <w:pStyle w:val="Paragraphedeliste"/>
        <w:widowControl w:val="0"/>
        <w:numPr>
          <w:ilvl w:val="0"/>
          <w:numId w:val="7"/>
        </w:numPr>
        <w:autoSpaceDE w:val="0"/>
        <w:autoSpaceDN w:val="0"/>
        <w:adjustRightInd w:val="0"/>
        <w:jc w:val="both"/>
        <w:rPr>
          <w:rFonts w:asciiTheme="majorHAnsi" w:hAnsiTheme="majorHAnsi" w:cs="Helvetica"/>
        </w:rPr>
      </w:pPr>
      <w:r>
        <w:rPr>
          <w:rFonts w:asciiTheme="majorHAnsi" w:hAnsiTheme="majorHAnsi" w:cs="Helvetica"/>
        </w:rPr>
        <w:t xml:space="preserve">régime de récupération des agents titulaires fortement dérogatoire par rapport aux </w:t>
      </w:r>
      <w:r>
        <w:rPr>
          <w:rFonts w:asciiTheme="majorHAnsi" w:hAnsiTheme="majorHAnsi" w:cs="Helvetica"/>
        </w:rPr>
        <w:lastRenderedPageBreak/>
        <w:t>règles de fonctionnement de l’UBO</w:t>
      </w:r>
    </w:p>
    <w:p w14:paraId="27A65F4F" w14:textId="77777777" w:rsidR="0039179A" w:rsidRDefault="0039179A" w:rsidP="0039179A">
      <w:pPr>
        <w:pStyle w:val="Paragraphedeliste"/>
        <w:widowControl w:val="0"/>
        <w:numPr>
          <w:ilvl w:val="0"/>
          <w:numId w:val="7"/>
        </w:numPr>
        <w:autoSpaceDE w:val="0"/>
        <w:autoSpaceDN w:val="0"/>
        <w:adjustRightInd w:val="0"/>
        <w:jc w:val="both"/>
        <w:rPr>
          <w:rFonts w:asciiTheme="majorHAnsi" w:hAnsiTheme="majorHAnsi" w:cs="Helvetica"/>
        </w:rPr>
      </w:pPr>
      <w:r>
        <w:rPr>
          <w:rFonts w:asciiTheme="majorHAnsi" w:hAnsiTheme="majorHAnsi" w:cs="Helvetica"/>
        </w:rPr>
        <w:t>impact majeur des récupérations sur le fonctionnement des sites</w:t>
      </w:r>
    </w:p>
    <w:p w14:paraId="758AD195" w14:textId="0ADD388B" w:rsidR="0039179A" w:rsidRDefault="0039179A" w:rsidP="0039179A">
      <w:pPr>
        <w:pStyle w:val="Paragraphedeliste"/>
        <w:widowControl w:val="0"/>
        <w:numPr>
          <w:ilvl w:val="0"/>
          <w:numId w:val="7"/>
        </w:numPr>
        <w:autoSpaceDE w:val="0"/>
        <w:autoSpaceDN w:val="0"/>
        <w:adjustRightInd w:val="0"/>
        <w:jc w:val="both"/>
        <w:rPr>
          <w:rFonts w:asciiTheme="majorHAnsi" w:hAnsiTheme="majorHAnsi" w:cs="Helvetica"/>
        </w:rPr>
      </w:pPr>
      <w:r>
        <w:rPr>
          <w:rFonts w:asciiTheme="majorHAnsi" w:hAnsiTheme="majorHAnsi" w:cs="Helvetica"/>
        </w:rPr>
        <w:t>fragilité d’un dispositif reposant sur le principe du volontariat</w:t>
      </w:r>
    </w:p>
    <w:p w14:paraId="34A33111" w14:textId="77777777" w:rsidR="0039179A" w:rsidRDefault="0039179A" w:rsidP="0039179A">
      <w:pPr>
        <w:widowControl w:val="0"/>
        <w:autoSpaceDE w:val="0"/>
        <w:autoSpaceDN w:val="0"/>
        <w:adjustRightInd w:val="0"/>
        <w:jc w:val="both"/>
        <w:rPr>
          <w:rFonts w:asciiTheme="majorHAnsi" w:hAnsiTheme="majorHAnsi" w:cs="Helvetica"/>
        </w:rPr>
      </w:pPr>
    </w:p>
    <w:p w14:paraId="739E2B12" w14:textId="77777777" w:rsidR="0039179A" w:rsidRDefault="0039179A" w:rsidP="0039179A">
      <w:pPr>
        <w:widowControl w:val="0"/>
        <w:autoSpaceDE w:val="0"/>
        <w:autoSpaceDN w:val="0"/>
        <w:adjustRightInd w:val="0"/>
        <w:jc w:val="both"/>
        <w:rPr>
          <w:rFonts w:asciiTheme="majorHAnsi" w:hAnsiTheme="majorHAnsi" w:cs="Helvetica"/>
        </w:rPr>
      </w:pPr>
      <w:r>
        <w:rPr>
          <w:rFonts w:asciiTheme="majorHAnsi" w:hAnsiTheme="majorHAnsi" w:cs="Helvetica"/>
        </w:rPr>
        <w:t>Pour pallier ces difficultés et améliorer le fonctionnement des BU ouvertes sur des créneaux atypiques, les principes d’organisation ci-après sont proposés :</w:t>
      </w:r>
    </w:p>
    <w:p w14:paraId="15E73FD6" w14:textId="77777777" w:rsidR="0039179A" w:rsidRPr="00193BE3" w:rsidRDefault="0039179A" w:rsidP="0039179A">
      <w:pPr>
        <w:pStyle w:val="Paragraphedeliste"/>
        <w:widowControl w:val="0"/>
        <w:numPr>
          <w:ilvl w:val="0"/>
          <w:numId w:val="7"/>
        </w:numPr>
        <w:autoSpaceDE w:val="0"/>
        <w:autoSpaceDN w:val="0"/>
        <w:adjustRightInd w:val="0"/>
        <w:jc w:val="both"/>
        <w:rPr>
          <w:rFonts w:asciiTheme="majorHAnsi" w:hAnsiTheme="majorHAnsi" w:cs="Helvetica"/>
        </w:rPr>
      </w:pPr>
      <w:r w:rsidRPr="00193BE3">
        <w:rPr>
          <w:rFonts w:asciiTheme="majorHAnsi" w:hAnsiTheme="majorHAnsi" w:cs="Helvetica"/>
        </w:rPr>
        <w:t xml:space="preserve">Recours exclusif à des moniteurs sur les 3 sites ouverts en soirée (19h00 &gt; 22h00) et le samedi matin (9h00 &gt; 13h00), adossé à un service d’astreinte téléphonique assuré par </w:t>
      </w:r>
      <w:r>
        <w:rPr>
          <w:rFonts w:asciiTheme="majorHAnsi" w:hAnsiTheme="majorHAnsi" w:cs="Helvetica"/>
        </w:rPr>
        <w:t xml:space="preserve">les agents de l’équipe de direction en poste à Brest (obligatoire) et par des agents volontaires </w:t>
      </w:r>
      <w:r w:rsidRPr="00193BE3">
        <w:rPr>
          <w:rFonts w:asciiTheme="majorHAnsi" w:hAnsiTheme="majorHAnsi" w:cs="Helvetica"/>
        </w:rPr>
        <w:t>de catégorie A</w:t>
      </w:r>
      <w:r>
        <w:rPr>
          <w:rFonts w:asciiTheme="majorHAnsi" w:hAnsiTheme="majorHAnsi" w:cs="Helvetica"/>
        </w:rPr>
        <w:t>.</w:t>
      </w:r>
    </w:p>
    <w:p w14:paraId="6388B69A" w14:textId="63CED1CF" w:rsidR="0039179A" w:rsidRDefault="0039179A" w:rsidP="0039179A">
      <w:pPr>
        <w:pStyle w:val="Paragraphedeliste"/>
        <w:widowControl w:val="0"/>
        <w:numPr>
          <w:ilvl w:val="0"/>
          <w:numId w:val="7"/>
        </w:numPr>
        <w:autoSpaceDE w:val="0"/>
        <w:autoSpaceDN w:val="0"/>
        <w:adjustRightInd w:val="0"/>
        <w:jc w:val="both"/>
        <w:rPr>
          <w:rFonts w:asciiTheme="majorHAnsi" w:hAnsiTheme="majorHAnsi" w:cs="Helvetica"/>
        </w:rPr>
      </w:pPr>
      <w:r>
        <w:rPr>
          <w:rFonts w:asciiTheme="majorHAnsi" w:hAnsiTheme="majorHAnsi" w:cs="Helvetica"/>
        </w:rPr>
        <w:t xml:space="preserve">Recours à des moniteurs sur les 3 sites ouverts le samedi après-midi (13h00 &gt; 17h00), mobilisation d’un agent titulaire (B ou C) volontaire, selon le régime de récupération/rémunération actuel (coefficient 2). Maintien de l’astreinte téléphonique des agents de l’équipe de direction en poste à Brest (obligatoire) et des agents volontaires </w:t>
      </w:r>
      <w:r w:rsidRPr="00193BE3">
        <w:rPr>
          <w:rFonts w:asciiTheme="majorHAnsi" w:hAnsiTheme="majorHAnsi" w:cs="Helvetica"/>
        </w:rPr>
        <w:t xml:space="preserve">de catégorie </w:t>
      </w:r>
      <w:proofErr w:type="gramStart"/>
      <w:r w:rsidRPr="00193BE3">
        <w:rPr>
          <w:rFonts w:asciiTheme="majorHAnsi" w:hAnsiTheme="majorHAnsi" w:cs="Helvetica"/>
        </w:rPr>
        <w:t>A</w:t>
      </w:r>
      <w:proofErr w:type="gramEnd"/>
      <w:r>
        <w:rPr>
          <w:rFonts w:asciiTheme="majorHAnsi" w:hAnsiTheme="majorHAnsi" w:cs="Helvetica"/>
        </w:rPr>
        <w:t>.</w:t>
      </w:r>
    </w:p>
    <w:p w14:paraId="0ED22530" w14:textId="77777777" w:rsidR="0039179A" w:rsidRDefault="0039179A" w:rsidP="0039179A">
      <w:pPr>
        <w:pStyle w:val="Paragraphedeliste"/>
        <w:widowControl w:val="0"/>
        <w:numPr>
          <w:ilvl w:val="0"/>
          <w:numId w:val="7"/>
        </w:numPr>
        <w:autoSpaceDE w:val="0"/>
        <w:autoSpaceDN w:val="0"/>
        <w:adjustRightInd w:val="0"/>
        <w:jc w:val="both"/>
        <w:rPr>
          <w:rFonts w:asciiTheme="majorHAnsi" w:hAnsiTheme="majorHAnsi" w:cs="Helvetica"/>
        </w:rPr>
      </w:pPr>
      <w:r>
        <w:rPr>
          <w:rFonts w:asciiTheme="majorHAnsi" w:hAnsiTheme="majorHAnsi" w:cs="Helvetica"/>
        </w:rPr>
        <w:t>Renforcement du service de sécurité par la présence de vigiles sur site ou de rondes régulières.</w:t>
      </w:r>
    </w:p>
    <w:p w14:paraId="2EE963DA" w14:textId="77777777" w:rsidR="0039179A" w:rsidRDefault="0039179A" w:rsidP="0039179A">
      <w:pPr>
        <w:widowControl w:val="0"/>
        <w:autoSpaceDE w:val="0"/>
        <w:autoSpaceDN w:val="0"/>
        <w:adjustRightInd w:val="0"/>
        <w:jc w:val="both"/>
        <w:rPr>
          <w:rFonts w:asciiTheme="majorHAnsi" w:hAnsiTheme="majorHAnsi" w:cs="Helvetica"/>
        </w:rPr>
      </w:pPr>
    </w:p>
    <w:p w14:paraId="4AA86BA0" w14:textId="77777777" w:rsidR="0039179A" w:rsidRDefault="0039179A" w:rsidP="0039179A">
      <w:pPr>
        <w:widowControl w:val="0"/>
        <w:autoSpaceDE w:val="0"/>
        <w:autoSpaceDN w:val="0"/>
        <w:adjustRightInd w:val="0"/>
        <w:jc w:val="both"/>
        <w:rPr>
          <w:rFonts w:asciiTheme="majorHAnsi" w:hAnsiTheme="majorHAnsi" w:cs="Helvetica"/>
        </w:rPr>
      </w:pPr>
      <w:r>
        <w:rPr>
          <w:rFonts w:asciiTheme="majorHAnsi" w:hAnsiTheme="majorHAnsi" w:cs="Helvetica"/>
        </w:rPr>
        <w:t>Cette organisation présente de nombreux avantages : elle permet en effet de stimuler l’emploi étudiant, dont le financement est en partie assuré par les crédits ministériels obtenus (jusqu’en 2019) ; elle supprime l’obligation de service le samedi matin, qui mobilisait les agents de manière très inégale selon les sites ; elle maintient la possibilité d’une rémunération complémentaire avantageuse pour les agents volontaires le samedi après-midi ; elle permet enfin de recentrer les forces vives du SCD sur des créneaux habituels (entre 8h00 et 19h00), c’est-à-dire sur une période d’intense activité, où les agents titulaires, toutes catégories confondues, sont appelés à entretenir des liens avec les services internes du SCD et l’ensemble des acteurs de l’université.</w:t>
      </w:r>
    </w:p>
    <w:p w14:paraId="3A35B344" w14:textId="77777777" w:rsidR="0039179A" w:rsidRDefault="0039179A" w:rsidP="0039179A">
      <w:pPr>
        <w:widowControl w:val="0"/>
        <w:autoSpaceDE w:val="0"/>
        <w:autoSpaceDN w:val="0"/>
        <w:adjustRightInd w:val="0"/>
        <w:jc w:val="both"/>
        <w:rPr>
          <w:rFonts w:asciiTheme="majorHAnsi" w:hAnsiTheme="majorHAnsi" w:cs="Helvetica"/>
        </w:rPr>
      </w:pPr>
    </w:p>
    <w:p w14:paraId="392AFEE3" w14:textId="77777777" w:rsidR="0039179A" w:rsidRDefault="0039179A" w:rsidP="0039179A">
      <w:pPr>
        <w:widowControl w:val="0"/>
        <w:autoSpaceDE w:val="0"/>
        <w:autoSpaceDN w:val="0"/>
        <w:adjustRightInd w:val="0"/>
        <w:jc w:val="both"/>
        <w:rPr>
          <w:rFonts w:asciiTheme="majorHAnsi" w:hAnsiTheme="majorHAnsi" w:cs="Helvetica"/>
        </w:rPr>
      </w:pPr>
      <w:r>
        <w:rPr>
          <w:rFonts w:asciiTheme="majorHAnsi" w:hAnsiTheme="majorHAnsi" w:cs="Helvetica"/>
        </w:rPr>
        <w:t>Toutefois, dans la mesure où cette organisation introduit des changements importants par rapport au fonctionnement actuel des bibliothèques universitaires, une période transitoire, de janvier 2017 à juin 2017, permettra de basculer progressivement vers ce nouveau modèle, qui sera effectif à compter de septembre 2017. Dans l’intervalle, la contribution des agents titulaires aux ouvertures en soirée et le samedi, sera maintenue selon des modalités qui seront définies par le Département Accompagnement des publics, et selon le régime de récupération/rémunération en vigueur.</w:t>
      </w:r>
    </w:p>
    <w:p w14:paraId="4181135F" w14:textId="77777777" w:rsidR="0039179A" w:rsidRDefault="0039179A" w:rsidP="0039179A">
      <w:pPr>
        <w:widowControl w:val="0"/>
        <w:autoSpaceDE w:val="0"/>
        <w:autoSpaceDN w:val="0"/>
        <w:adjustRightInd w:val="0"/>
        <w:jc w:val="both"/>
        <w:rPr>
          <w:rFonts w:asciiTheme="majorHAnsi" w:hAnsiTheme="majorHAnsi" w:cs="Helvetica"/>
        </w:rPr>
      </w:pPr>
    </w:p>
    <w:p w14:paraId="0FD0F33D" w14:textId="77777777" w:rsidR="0039179A" w:rsidRPr="003F25EB" w:rsidRDefault="0039179A" w:rsidP="0039179A">
      <w:pPr>
        <w:widowControl w:val="0"/>
        <w:autoSpaceDE w:val="0"/>
        <w:autoSpaceDN w:val="0"/>
        <w:adjustRightInd w:val="0"/>
        <w:jc w:val="both"/>
        <w:rPr>
          <w:rFonts w:asciiTheme="majorHAnsi" w:hAnsiTheme="majorHAnsi" w:cs="Helvetica"/>
        </w:rPr>
      </w:pPr>
      <w:r>
        <w:rPr>
          <w:rFonts w:asciiTheme="majorHAnsi" w:hAnsiTheme="majorHAnsi" w:cs="Helvetica"/>
        </w:rPr>
        <w:t xml:space="preserve">Il est proposé au Conseil documentaire d’approuver les modalités d’ouverture des bibliothèques universitaires de Santé, de Lettres et du </w:t>
      </w:r>
      <w:proofErr w:type="spellStart"/>
      <w:r>
        <w:rPr>
          <w:rFonts w:asciiTheme="majorHAnsi" w:hAnsiTheme="majorHAnsi" w:cs="Helvetica"/>
        </w:rPr>
        <w:t>Bouguen</w:t>
      </w:r>
      <w:proofErr w:type="spellEnd"/>
      <w:r>
        <w:rPr>
          <w:rFonts w:asciiTheme="majorHAnsi" w:hAnsiTheme="majorHAnsi" w:cs="Helvetica"/>
        </w:rPr>
        <w:t xml:space="preserve"> en soirée et le samedi, pour une mise en œuvre du dispositif en septembre 2017.</w:t>
      </w:r>
    </w:p>
    <w:p w14:paraId="6DA3CB43" w14:textId="065C0715" w:rsidR="00AF34D6" w:rsidRPr="003F25EB" w:rsidRDefault="00AF34D6" w:rsidP="003F25EB">
      <w:pPr>
        <w:widowControl w:val="0"/>
        <w:autoSpaceDE w:val="0"/>
        <w:autoSpaceDN w:val="0"/>
        <w:adjustRightInd w:val="0"/>
        <w:jc w:val="both"/>
        <w:rPr>
          <w:rFonts w:asciiTheme="majorHAnsi" w:hAnsiTheme="majorHAnsi" w:cs="Helvetica"/>
        </w:rPr>
      </w:pPr>
    </w:p>
    <w:p w14:paraId="65C0CBEF" w14:textId="77777777" w:rsidR="00AF34D6" w:rsidRPr="003F25EB" w:rsidRDefault="00AF34D6" w:rsidP="003F25EB">
      <w:pPr>
        <w:jc w:val="both"/>
        <w:rPr>
          <w:rFonts w:asciiTheme="majorHAnsi" w:hAnsiTheme="majorHAnsi"/>
        </w:rPr>
      </w:pPr>
    </w:p>
    <w:tbl>
      <w:tblPr>
        <w:tblStyle w:val="Grille"/>
        <w:tblW w:w="0" w:type="auto"/>
        <w:tblLook w:val="01E0" w:firstRow="1" w:lastRow="1" w:firstColumn="1" w:lastColumn="1" w:noHBand="0" w:noVBand="0"/>
      </w:tblPr>
      <w:tblGrid>
        <w:gridCol w:w="2303"/>
        <w:gridCol w:w="1188"/>
        <w:gridCol w:w="1152"/>
        <w:gridCol w:w="1622"/>
        <w:gridCol w:w="1492"/>
        <w:gridCol w:w="1492"/>
      </w:tblGrid>
      <w:tr w:rsidR="00F0380E" w:rsidRPr="003F25EB" w14:paraId="7185ED11" w14:textId="77777777" w:rsidTr="00153029">
        <w:trPr>
          <w:trHeight w:val="244"/>
        </w:trPr>
        <w:tc>
          <w:tcPr>
            <w:tcW w:w="2303" w:type="dxa"/>
            <w:vMerge w:val="restart"/>
            <w:vAlign w:val="center"/>
          </w:tcPr>
          <w:p w14:paraId="399FD886" w14:textId="77777777" w:rsidR="00F0380E" w:rsidRPr="003F25EB" w:rsidRDefault="00F0380E" w:rsidP="00153029">
            <w:pPr>
              <w:jc w:val="both"/>
              <w:rPr>
                <w:rFonts w:asciiTheme="majorHAnsi" w:hAnsiTheme="majorHAnsi"/>
              </w:rPr>
            </w:pPr>
            <w:r w:rsidRPr="003F25EB">
              <w:rPr>
                <w:rFonts w:asciiTheme="majorHAnsi" w:hAnsiTheme="majorHAnsi"/>
              </w:rPr>
              <w:t>Membres</w:t>
            </w:r>
          </w:p>
        </w:tc>
        <w:tc>
          <w:tcPr>
            <w:tcW w:w="1188" w:type="dxa"/>
          </w:tcPr>
          <w:p w14:paraId="444265C5" w14:textId="77777777" w:rsidR="00F0380E" w:rsidRPr="003F25EB" w:rsidRDefault="00F0380E" w:rsidP="00153029">
            <w:pPr>
              <w:jc w:val="both"/>
              <w:rPr>
                <w:rFonts w:asciiTheme="majorHAnsi" w:hAnsiTheme="majorHAnsi"/>
              </w:rPr>
            </w:pPr>
            <w:r w:rsidRPr="003F25EB">
              <w:rPr>
                <w:rFonts w:asciiTheme="majorHAnsi" w:hAnsiTheme="majorHAnsi"/>
              </w:rPr>
              <w:t>En exercice</w:t>
            </w:r>
          </w:p>
        </w:tc>
        <w:tc>
          <w:tcPr>
            <w:tcW w:w="1152" w:type="dxa"/>
          </w:tcPr>
          <w:p w14:paraId="42470F48" w14:textId="77777777" w:rsidR="00F0380E" w:rsidRPr="003F25EB" w:rsidRDefault="00F0380E" w:rsidP="00153029">
            <w:pPr>
              <w:jc w:val="right"/>
              <w:rPr>
                <w:rFonts w:asciiTheme="majorHAnsi" w:hAnsiTheme="majorHAnsi"/>
              </w:rPr>
            </w:pPr>
            <w:r>
              <w:rPr>
                <w:rFonts w:asciiTheme="majorHAnsi" w:hAnsiTheme="majorHAnsi"/>
              </w:rPr>
              <w:t>20</w:t>
            </w:r>
          </w:p>
        </w:tc>
        <w:tc>
          <w:tcPr>
            <w:tcW w:w="1622" w:type="dxa"/>
            <w:vMerge w:val="restart"/>
            <w:vAlign w:val="center"/>
          </w:tcPr>
          <w:p w14:paraId="3B221965" w14:textId="77777777" w:rsidR="00F0380E" w:rsidRPr="003F25EB" w:rsidRDefault="00F0380E" w:rsidP="00153029">
            <w:pPr>
              <w:jc w:val="both"/>
              <w:rPr>
                <w:rFonts w:asciiTheme="majorHAnsi" w:hAnsiTheme="majorHAnsi"/>
              </w:rPr>
            </w:pPr>
            <w:r w:rsidRPr="003F25EB">
              <w:rPr>
                <w:rFonts w:asciiTheme="majorHAnsi" w:hAnsiTheme="majorHAnsi"/>
              </w:rPr>
              <w:t>Vote</w:t>
            </w:r>
          </w:p>
        </w:tc>
        <w:tc>
          <w:tcPr>
            <w:tcW w:w="1492" w:type="dxa"/>
          </w:tcPr>
          <w:p w14:paraId="2635022C" w14:textId="77777777" w:rsidR="00F0380E" w:rsidRPr="003F25EB" w:rsidRDefault="00F0380E" w:rsidP="00153029">
            <w:pPr>
              <w:rPr>
                <w:rFonts w:asciiTheme="majorHAnsi" w:hAnsiTheme="majorHAnsi"/>
              </w:rPr>
            </w:pPr>
            <w:r w:rsidRPr="003F25EB">
              <w:rPr>
                <w:rFonts w:asciiTheme="majorHAnsi" w:hAnsiTheme="majorHAnsi"/>
              </w:rPr>
              <w:t>Refus de vote</w:t>
            </w:r>
          </w:p>
        </w:tc>
        <w:tc>
          <w:tcPr>
            <w:tcW w:w="1492" w:type="dxa"/>
          </w:tcPr>
          <w:p w14:paraId="5AA11A97" w14:textId="77777777" w:rsidR="00F0380E" w:rsidRPr="003F25EB" w:rsidRDefault="00F0380E" w:rsidP="00153029">
            <w:pPr>
              <w:jc w:val="right"/>
              <w:rPr>
                <w:rFonts w:asciiTheme="majorHAnsi" w:hAnsiTheme="majorHAnsi"/>
              </w:rPr>
            </w:pPr>
            <w:r>
              <w:rPr>
                <w:rFonts w:asciiTheme="majorHAnsi" w:hAnsiTheme="majorHAnsi"/>
              </w:rPr>
              <w:t>0</w:t>
            </w:r>
          </w:p>
        </w:tc>
      </w:tr>
      <w:tr w:rsidR="00F0380E" w:rsidRPr="003F25EB" w14:paraId="18AC2988" w14:textId="77777777" w:rsidTr="00153029">
        <w:trPr>
          <w:trHeight w:val="244"/>
        </w:trPr>
        <w:tc>
          <w:tcPr>
            <w:tcW w:w="2303" w:type="dxa"/>
            <w:vMerge/>
          </w:tcPr>
          <w:p w14:paraId="39E499B1" w14:textId="77777777" w:rsidR="00F0380E" w:rsidRPr="003F25EB" w:rsidRDefault="00F0380E" w:rsidP="00153029">
            <w:pPr>
              <w:jc w:val="both"/>
              <w:rPr>
                <w:rFonts w:asciiTheme="majorHAnsi" w:hAnsiTheme="majorHAnsi"/>
              </w:rPr>
            </w:pPr>
          </w:p>
        </w:tc>
        <w:tc>
          <w:tcPr>
            <w:tcW w:w="1188" w:type="dxa"/>
          </w:tcPr>
          <w:p w14:paraId="11E8E02A" w14:textId="77777777" w:rsidR="00F0380E" w:rsidRPr="003F25EB" w:rsidRDefault="00F0380E" w:rsidP="00153029">
            <w:pPr>
              <w:jc w:val="both"/>
              <w:rPr>
                <w:rFonts w:asciiTheme="majorHAnsi" w:hAnsiTheme="majorHAnsi"/>
              </w:rPr>
            </w:pPr>
            <w:r w:rsidRPr="003F25EB">
              <w:rPr>
                <w:rFonts w:asciiTheme="majorHAnsi" w:hAnsiTheme="majorHAnsi"/>
              </w:rPr>
              <w:t>Présents</w:t>
            </w:r>
          </w:p>
        </w:tc>
        <w:tc>
          <w:tcPr>
            <w:tcW w:w="1152" w:type="dxa"/>
          </w:tcPr>
          <w:p w14:paraId="2DEC5BF6" w14:textId="469C99A9" w:rsidR="00F0380E" w:rsidRPr="003F25EB" w:rsidRDefault="00F0380E" w:rsidP="00153029">
            <w:pPr>
              <w:jc w:val="right"/>
              <w:rPr>
                <w:rFonts w:asciiTheme="majorHAnsi" w:hAnsiTheme="majorHAnsi"/>
              </w:rPr>
            </w:pPr>
          </w:p>
        </w:tc>
        <w:tc>
          <w:tcPr>
            <w:tcW w:w="1622" w:type="dxa"/>
            <w:vMerge/>
          </w:tcPr>
          <w:p w14:paraId="5F90C8C1" w14:textId="77777777" w:rsidR="00F0380E" w:rsidRPr="003F25EB" w:rsidRDefault="00F0380E" w:rsidP="00153029">
            <w:pPr>
              <w:jc w:val="both"/>
              <w:rPr>
                <w:rFonts w:asciiTheme="majorHAnsi" w:hAnsiTheme="majorHAnsi"/>
              </w:rPr>
            </w:pPr>
          </w:p>
        </w:tc>
        <w:tc>
          <w:tcPr>
            <w:tcW w:w="1492" w:type="dxa"/>
          </w:tcPr>
          <w:p w14:paraId="50726C87" w14:textId="77777777" w:rsidR="00F0380E" w:rsidRPr="003F25EB" w:rsidRDefault="00F0380E" w:rsidP="00153029">
            <w:pPr>
              <w:rPr>
                <w:rFonts w:asciiTheme="majorHAnsi" w:hAnsiTheme="majorHAnsi"/>
              </w:rPr>
            </w:pPr>
            <w:r w:rsidRPr="003F25EB">
              <w:rPr>
                <w:rFonts w:asciiTheme="majorHAnsi" w:hAnsiTheme="majorHAnsi"/>
              </w:rPr>
              <w:t>Abstention</w:t>
            </w:r>
          </w:p>
        </w:tc>
        <w:tc>
          <w:tcPr>
            <w:tcW w:w="1492" w:type="dxa"/>
          </w:tcPr>
          <w:p w14:paraId="50BA5DC5" w14:textId="77777777" w:rsidR="00F0380E" w:rsidRPr="003F25EB" w:rsidRDefault="00F0380E" w:rsidP="00153029">
            <w:pPr>
              <w:jc w:val="right"/>
              <w:rPr>
                <w:rFonts w:asciiTheme="majorHAnsi" w:hAnsiTheme="majorHAnsi"/>
              </w:rPr>
            </w:pPr>
            <w:r>
              <w:rPr>
                <w:rFonts w:asciiTheme="majorHAnsi" w:hAnsiTheme="majorHAnsi"/>
              </w:rPr>
              <w:t>0</w:t>
            </w:r>
          </w:p>
        </w:tc>
      </w:tr>
      <w:tr w:rsidR="00F0380E" w:rsidRPr="003F25EB" w14:paraId="45C4C7BA" w14:textId="77777777" w:rsidTr="00153029">
        <w:trPr>
          <w:trHeight w:val="244"/>
        </w:trPr>
        <w:tc>
          <w:tcPr>
            <w:tcW w:w="2303" w:type="dxa"/>
            <w:vMerge/>
          </w:tcPr>
          <w:p w14:paraId="1FC20D84" w14:textId="77777777" w:rsidR="00F0380E" w:rsidRPr="003F25EB" w:rsidRDefault="00F0380E" w:rsidP="00153029">
            <w:pPr>
              <w:jc w:val="both"/>
              <w:rPr>
                <w:rFonts w:asciiTheme="majorHAnsi" w:hAnsiTheme="majorHAnsi"/>
              </w:rPr>
            </w:pPr>
          </w:p>
        </w:tc>
        <w:tc>
          <w:tcPr>
            <w:tcW w:w="1188" w:type="dxa"/>
            <w:vMerge w:val="restart"/>
          </w:tcPr>
          <w:p w14:paraId="728D42E3" w14:textId="77777777" w:rsidR="00F0380E" w:rsidRPr="003F25EB" w:rsidRDefault="00F0380E" w:rsidP="00153029">
            <w:pPr>
              <w:jc w:val="both"/>
              <w:rPr>
                <w:rFonts w:asciiTheme="majorHAnsi" w:hAnsiTheme="majorHAnsi"/>
              </w:rPr>
            </w:pPr>
            <w:r w:rsidRPr="003F25EB">
              <w:rPr>
                <w:rFonts w:asciiTheme="majorHAnsi" w:hAnsiTheme="majorHAnsi"/>
              </w:rPr>
              <w:t>représentés</w:t>
            </w:r>
          </w:p>
        </w:tc>
        <w:tc>
          <w:tcPr>
            <w:tcW w:w="1152" w:type="dxa"/>
            <w:vMerge w:val="restart"/>
          </w:tcPr>
          <w:p w14:paraId="304BF8AD" w14:textId="00BFD412" w:rsidR="00F0380E" w:rsidRPr="003F25EB" w:rsidRDefault="00F0380E" w:rsidP="00153029">
            <w:pPr>
              <w:jc w:val="right"/>
              <w:rPr>
                <w:rFonts w:asciiTheme="majorHAnsi" w:hAnsiTheme="majorHAnsi"/>
              </w:rPr>
            </w:pPr>
          </w:p>
        </w:tc>
        <w:tc>
          <w:tcPr>
            <w:tcW w:w="1622" w:type="dxa"/>
            <w:vMerge/>
          </w:tcPr>
          <w:p w14:paraId="6D8FC236" w14:textId="77777777" w:rsidR="00F0380E" w:rsidRPr="003F25EB" w:rsidRDefault="00F0380E" w:rsidP="00153029">
            <w:pPr>
              <w:jc w:val="both"/>
              <w:rPr>
                <w:rFonts w:asciiTheme="majorHAnsi" w:hAnsiTheme="majorHAnsi"/>
              </w:rPr>
            </w:pPr>
          </w:p>
        </w:tc>
        <w:tc>
          <w:tcPr>
            <w:tcW w:w="1492" w:type="dxa"/>
          </w:tcPr>
          <w:p w14:paraId="3F1A88C1" w14:textId="77777777" w:rsidR="00F0380E" w:rsidRPr="003F25EB" w:rsidRDefault="00F0380E" w:rsidP="00153029">
            <w:pPr>
              <w:rPr>
                <w:rFonts w:asciiTheme="majorHAnsi" w:hAnsiTheme="majorHAnsi"/>
              </w:rPr>
            </w:pPr>
            <w:r w:rsidRPr="003F25EB">
              <w:rPr>
                <w:rFonts w:asciiTheme="majorHAnsi" w:hAnsiTheme="majorHAnsi"/>
              </w:rPr>
              <w:t>Contre</w:t>
            </w:r>
          </w:p>
        </w:tc>
        <w:tc>
          <w:tcPr>
            <w:tcW w:w="1492" w:type="dxa"/>
          </w:tcPr>
          <w:p w14:paraId="77FD26C2" w14:textId="77777777" w:rsidR="00F0380E" w:rsidRPr="003F25EB" w:rsidRDefault="00F0380E" w:rsidP="00153029">
            <w:pPr>
              <w:jc w:val="right"/>
              <w:rPr>
                <w:rFonts w:asciiTheme="majorHAnsi" w:hAnsiTheme="majorHAnsi"/>
              </w:rPr>
            </w:pPr>
            <w:r>
              <w:rPr>
                <w:rFonts w:asciiTheme="majorHAnsi" w:hAnsiTheme="majorHAnsi"/>
              </w:rPr>
              <w:t>0</w:t>
            </w:r>
          </w:p>
        </w:tc>
      </w:tr>
      <w:tr w:rsidR="00F0380E" w:rsidRPr="003F25EB" w14:paraId="5C34BE77" w14:textId="77777777" w:rsidTr="00153029">
        <w:trPr>
          <w:trHeight w:val="244"/>
        </w:trPr>
        <w:tc>
          <w:tcPr>
            <w:tcW w:w="2303" w:type="dxa"/>
            <w:vMerge/>
          </w:tcPr>
          <w:p w14:paraId="292F101A" w14:textId="77777777" w:rsidR="00F0380E" w:rsidRPr="003F25EB" w:rsidRDefault="00F0380E" w:rsidP="00153029">
            <w:pPr>
              <w:jc w:val="both"/>
              <w:rPr>
                <w:rFonts w:asciiTheme="majorHAnsi" w:hAnsiTheme="majorHAnsi"/>
              </w:rPr>
            </w:pPr>
          </w:p>
        </w:tc>
        <w:tc>
          <w:tcPr>
            <w:tcW w:w="1188" w:type="dxa"/>
            <w:vMerge/>
          </w:tcPr>
          <w:p w14:paraId="0D896DA5" w14:textId="77777777" w:rsidR="00F0380E" w:rsidRPr="003F25EB" w:rsidRDefault="00F0380E" w:rsidP="00153029">
            <w:pPr>
              <w:jc w:val="both"/>
              <w:rPr>
                <w:rFonts w:asciiTheme="majorHAnsi" w:hAnsiTheme="majorHAnsi"/>
              </w:rPr>
            </w:pPr>
          </w:p>
        </w:tc>
        <w:tc>
          <w:tcPr>
            <w:tcW w:w="1152" w:type="dxa"/>
            <w:vMerge/>
          </w:tcPr>
          <w:p w14:paraId="6C400F42" w14:textId="77777777" w:rsidR="00F0380E" w:rsidRPr="003F25EB" w:rsidRDefault="00F0380E" w:rsidP="00153029">
            <w:pPr>
              <w:jc w:val="both"/>
              <w:rPr>
                <w:rFonts w:asciiTheme="majorHAnsi" w:hAnsiTheme="majorHAnsi"/>
              </w:rPr>
            </w:pPr>
          </w:p>
        </w:tc>
        <w:tc>
          <w:tcPr>
            <w:tcW w:w="1622" w:type="dxa"/>
            <w:vMerge/>
          </w:tcPr>
          <w:p w14:paraId="70963948" w14:textId="77777777" w:rsidR="00F0380E" w:rsidRPr="003F25EB" w:rsidRDefault="00F0380E" w:rsidP="00153029">
            <w:pPr>
              <w:jc w:val="both"/>
              <w:rPr>
                <w:rFonts w:asciiTheme="majorHAnsi" w:hAnsiTheme="majorHAnsi"/>
              </w:rPr>
            </w:pPr>
          </w:p>
        </w:tc>
        <w:tc>
          <w:tcPr>
            <w:tcW w:w="1492" w:type="dxa"/>
          </w:tcPr>
          <w:p w14:paraId="4E2064FC" w14:textId="77777777" w:rsidR="00F0380E" w:rsidRPr="003F25EB" w:rsidRDefault="00F0380E" w:rsidP="00153029">
            <w:pPr>
              <w:rPr>
                <w:rFonts w:asciiTheme="majorHAnsi" w:hAnsiTheme="majorHAnsi"/>
              </w:rPr>
            </w:pPr>
            <w:r w:rsidRPr="003F25EB">
              <w:rPr>
                <w:rFonts w:asciiTheme="majorHAnsi" w:hAnsiTheme="majorHAnsi"/>
              </w:rPr>
              <w:t>Pour</w:t>
            </w:r>
          </w:p>
        </w:tc>
        <w:tc>
          <w:tcPr>
            <w:tcW w:w="1492" w:type="dxa"/>
          </w:tcPr>
          <w:p w14:paraId="4BCEEBB1" w14:textId="1B04CBF7" w:rsidR="00F0380E" w:rsidRPr="003F25EB" w:rsidRDefault="00F0380E" w:rsidP="00153029">
            <w:pPr>
              <w:jc w:val="right"/>
              <w:rPr>
                <w:rFonts w:asciiTheme="majorHAnsi" w:hAnsiTheme="majorHAnsi"/>
              </w:rPr>
            </w:pPr>
          </w:p>
        </w:tc>
      </w:tr>
      <w:tr w:rsidR="00F0380E" w:rsidRPr="003F25EB" w14:paraId="403FB6FC" w14:textId="77777777" w:rsidTr="00153029">
        <w:trPr>
          <w:trHeight w:val="245"/>
        </w:trPr>
        <w:tc>
          <w:tcPr>
            <w:tcW w:w="2303" w:type="dxa"/>
            <w:vMerge/>
          </w:tcPr>
          <w:p w14:paraId="6E7BBAE9" w14:textId="77777777" w:rsidR="00F0380E" w:rsidRPr="003F25EB" w:rsidRDefault="00F0380E" w:rsidP="00153029">
            <w:pPr>
              <w:jc w:val="both"/>
              <w:rPr>
                <w:rFonts w:asciiTheme="majorHAnsi" w:hAnsiTheme="majorHAnsi"/>
              </w:rPr>
            </w:pPr>
          </w:p>
        </w:tc>
        <w:tc>
          <w:tcPr>
            <w:tcW w:w="1188" w:type="dxa"/>
            <w:vMerge/>
          </w:tcPr>
          <w:p w14:paraId="1BBE7B20" w14:textId="77777777" w:rsidR="00F0380E" w:rsidRPr="003F25EB" w:rsidRDefault="00F0380E" w:rsidP="00153029">
            <w:pPr>
              <w:jc w:val="both"/>
              <w:rPr>
                <w:rFonts w:asciiTheme="majorHAnsi" w:hAnsiTheme="majorHAnsi"/>
              </w:rPr>
            </w:pPr>
          </w:p>
        </w:tc>
        <w:tc>
          <w:tcPr>
            <w:tcW w:w="1152" w:type="dxa"/>
            <w:vMerge/>
          </w:tcPr>
          <w:p w14:paraId="7586457A" w14:textId="77777777" w:rsidR="00F0380E" w:rsidRPr="003F25EB" w:rsidRDefault="00F0380E" w:rsidP="00153029">
            <w:pPr>
              <w:jc w:val="both"/>
              <w:rPr>
                <w:rFonts w:asciiTheme="majorHAnsi" w:hAnsiTheme="majorHAnsi"/>
              </w:rPr>
            </w:pPr>
          </w:p>
        </w:tc>
        <w:tc>
          <w:tcPr>
            <w:tcW w:w="1622" w:type="dxa"/>
            <w:vMerge/>
          </w:tcPr>
          <w:p w14:paraId="3B2444C5" w14:textId="77777777" w:rsidR="00F0380E" w:rsidRPr="003F25EB" w:rsidRDefault="00F0380E" w:rsidP="00153029">
            <w:pPr>
              <w:jc w:val="both"/>
              <w:rPr>
                <w:rFonts w:asciiTheme="majorHAnsi" w:hAnsiTheme="majorHAnsi"/>
              </w:rPr>
            </w:pPr>
          </w:p>
        </w:tc>
        <w:tc>
          <w:tcPr>
            <w:tcW w:w="1492" w:type="dxa"/>
          </w:tcPr>
          <w:p w14:paraId="796EFF52" w14:textId="77777777" w:rsidR="00F0380E" w:rsidRPr="003F25EB" w:rsidRDefault="00F0380E" w:rsidP="00153029">
            <w:pPr>
              <w:rPr>
                <w:rFonts w:asciiTheme="majorHAnsi" w:hAnsiTheme="majorHAnsi"/>
              </w:rPr>
            </w:pPr>
            <w:r w:rsidRPr="003F25EB">
              <w:rPr>
                <w:rFonts w:asciiTheme="majorHAnsi" w:hAnsiTheme="majorHAnsi"/>
              </w:rPr>
              <w:t>Ne se prononce pas</w:t>
            </w:r>
          </w:p>
        </w:tc>
        <w:tc>
          <w:tcPr>
            <w:tcW w:w="1492" w:type="dxa"/>
          </w:tcPr>
          <w:p w14:paraId="3245F11D" w14:textId="77777777" w:rsidR="00F0380E" w:rsidRPr="003F25EB" w:rsidRDefault="00F0380E" w:rsidP="00153029">
            <w:pPr>
              <w:jc w:val="right"/>
              <w:rPr>
                <w:rFonts w:asciiTheme="majorHAnsi" w:hAnsiTheme="majorHAnsi"/>
              </w:rPr>
            </w:pPr>
            <w:r>
              <w:rPr>
                <w:rFonts w:asciiTheme="majorHAnsi" w:hAnsiTheme="majorHAnsi"/>
              </w:rPr>
              <w:t>0</w:t>
            </w:r>
          </w:p>
        </w:tc>
      </w:tr>
    </w:tbl>
    <w:p w14:paraId="5D163F2D" w14:textId="77777777" w:rsidR="009230AD" w:rsidRDefault="009230AD" w:rsidP="003F25EB">
      <w:pPr>
        <w:jc w:val="both"/>
        <w:rPr>
          <w:rFonts w:asciiTheme="majorHAnsi" w:hAnsiTheme="majorHAnsi"/>
        </w:rPr>
      </w:pPr>
    </w:p>
    <w:p w14:paraId="398282AE" w14:textId="77777777" w:rsidR="00F42011" w:rsidRDefault="00F42011" w:rsidP="003F25EB">
      <w:pPr>
        <w:jc w:val="both"/>
        <w:rPr>
          <w:rFonts w:asciiTheme="majorHAnsi" w:hAnsiTheme="majorHAnsi"/>
          <w:b/>
        </w:rPr>
      </w:pPr>
    </w:p>
    <w:p w14:paraId="5EDC252D" w14:textId="2CD328D6" w:rsidR="009230AD" w:rsidRPr="001C78BA" w:rsidRDefault="00153029" w:rsidP="00F42011">
      <w:pPr>
        <w:pBdr>
          <w:top w:val="single" w:sz="4" w:space="1" w:color="auto"/>
          <w:left w:val="single" w:sz="4" w:space="4" w:color="auto"/>
          <w:bottom w:val="single" w:sz="4" w:space="1" w:color="auto"/>
          <w:right w:val="single" w:sz="4" w:space="4" w:color="auto"/>
        </w:pBdr>
        <w:jc w:val="both"/>
        <w:rPr>
          <w:rFonts w:asciiTheme="majorHAnsi" w:hAnsiTheme="majorHAnsi"/>
        </w:rPr>
      </w:pPr>
      <w:r>
        <w:rPr>
          <w:rFonts w:asciiTheme="majorHAnsi" w:hAnsiTheme="majorHAnsi"/>
          <w:b/>
        </w:rPr>
        <w:t>Délibération CD2016</w:t>
      </w:r>
      <w:r w:rsidR="00E2112F">
        <w:rPr>
          <w:rFonts w:asciiTheme="majorHAnsi" w:hAnsiTheme="majorHAnsi"/>
          <w:b/>
        </w:rPr>
        <w:t>-09</w:t>
      </w:r>
      <w:r w:rsidR="001C78BA">
        <w:rPr>
          <w:rFonts w:asciiTheme="majorHAnsi" w:hAnsiTheme="majorHAnsi"/>
          <w:b/>
        </w:rPr>
        <w:t xml:space="preserve"> : </w:t>
      </w:r>
      <w:r w:rsidR="00C12934">
        <w:rPr>
          <w:rFonts w:asciiTheme="majorHAnsi" w:hAnsiTheme="majorHAnsi"/>
          <w:b/>
        </w:rPr>
        <w:t>Horaires d’ouverture 2016-2017</w:t>
      </w:r>
      <w:r w:rsidR="001C78BA">
        <w:rPr>
          <w:rFonts w:asciiTheme="majorHAnsi" w:hAnsiTheme="majorHAnsi"/>
          <w:b/>
        </w:rPr>
        <w:t xml:space="preserve"> </w:t>
      </w:r>
      <w:r w:rsidR="0039179A">
        <w:rPr>
          <w:rFonts w:asciiTheme="majorHAnsi" w:hAnsiTheme="majorHAnsi"/>
        </w:rPr>
        <w:t>(ANNEXE 3</w:t>
      </w:r>
      <w:r w:rsidR="001C78BA" w:rsidRPr="001C78BA">
        <w:rPr>
          <w:rFonts w:asciiTheme="majorHAnsi" w:hAnsiTheme="majorHAnsi"/>
        </w:rPr>
        <w:t xml:space="preserve"> : </w:t>
      </w:r>
      <w:r w:rsidR="003F4EBB">
        <w:rPr>
          <w:rFonts w:asciiTheme="majorHAnsi" w:hAnsiTheme="majorHAnsi"/>
        </w:rPr>
        <w:t>Horaires 2016-2017)</w:t>
      </w:r>
    </w:p>
    <w:p w14:paraId="3E8B12A1" w14:textId="77777777" w:rsidR="001C78BA" w:rsidRDefault="001C78BA" w:rsidP="003F25EB">
      <w:pPr>
        <w:jc w:val="both"/>
        <w:rPr>
          <w:rFonts w:asciiTheme="majorHAnsi" w:hAnsiTheme="majorHAnsi"/>
          <w:b/>
        </w:rPr>
      </w:pPr>
    </w:p>
    <w:p w14:paraId="1E31F40E" w14:textId="7E539BB6" w:rsidR="00153029" w:rsidRPr="003F4EBB" w:rsidRDefault="003F4EBB" w:rsidP="003F25EB">
      <w:pPr>
        <w:jc w:val="both"/>
        <w:rPr>
          <w:rFonts w:asciiTheme="majorHAnsi" w:hAnsiTheme="majorHAnsi"/>
        </w:rPr>
      </w:pPr>
      <w:r w:rsidRPr="003F4EBB">
        <w:rPr>
          <w:rFonts w:asciiTheme="majorHAnsi" w:hAnsiTheme="majorHAnsi"/>
        </w:rPr>
        <w:t>Il est proposé au Conseil documentaire d’approuver les horaires d’ouverture 2016-2017 des bibliothèques universitaires.</w:t>
      </w:r>
    </w:p>
    <w:p w14:paraId="1CB246D2" w14:textId="77777777" w:rsidR="003F4EBB" w:rsidRPr="003F25EB" w:rsidRDefault="003F4EBB" w:rsidP="003F25EB">
      <w:pPr>
        <w:jc w:val="both"/>
        <w:rPr>
          <w:rFonts w:asciiTheme="majorHAnsi" w:hAnsiTheme="majorHAnsi"/>
        </w:rPr>
      </w:pPr>
    </w:p>
    <w:tbl>
      <w:tblPr>
        <w:tblStyle w:val="Grille"/>
        <w:tblW w:w="0" w:type="auto"/>
        <w:tblLook w:val="01E0" w:firstRow="1" w:lastRow="1" w:firstColumn="1" w:lastColumn="1" w:noHBand="0" w:noVBand="0"/>
      </w:tblPr>
      <w:tblGrid>
        <w:gridCol w:w="2303"/>
        <w:gridCol w:w="1188"/>
        <w:gridCol w:w="1152"/>
        <w:gridCol w:w="1622"/>
        <w:gridCol w:w="1492"/>
        <w:gridCol w:w="1492"/>
      </w:tblGrid>
      <w:tr w:rsidR="004C4969" w:rsidRPr="003F25EB" w14:paraId="40048D90" w14:textId="77777777" w:rsidTr="00153029">
        <w:trPr>
          <w:trHeight w:val="244"/>
        </w:trPr>
        <w:tc>
          <w:tcPr>
            <w:tcW w:w="2303" w:type="dxa"/>
            <w:vMerge w:val="restart"/>
            <w:vAlign w:val="center"/>
          </w:tcPr>
          <w:p w14:paraId="54A2935D" w14:textId="77777777" w:rsidR="004C4969" w:rsidRPr="003F25EB" w:rsidRDefault="004C4969" w:rsidP="00153029">
            <w:pPr>
              <w:jc w:val="both"/>
              <w:rPr>
                <w:rFonts w:asciiTheme="majorHAnsi" w:hAnsiTheme="majorHAnsi"/>
              </w:rPr>
            </w:pPr>
            <w:r w:rsidRPr="003F25EB">
              <w:rPr>
                <w:rFonts w:asciiTheme="majorHAnsi" w:hAnsiTheme="majorHAnsi"/>
              </w:rPr>
              <w:t>Membres</w:t>
            </w:r>
          </w:p>
        </w:tc>
        <w:tc>
          <w:tcPr>
            <w:tcW w:w="1188" w:type="dxa"/>
          </w:tcPr>
          <w:p w14:paraId="7BFC3A36" w14:textId="77777777" w:rsidR="004C4969" w:rsidRPr="003F25EB" w:rsidRDefault="004C4969" w:rsidP="00153029">
            <w:pPr>
              <w:jc w:val="both"/>
              <w:rPr>
                <w:rFonts w:asciiTheme="majorHAnsi" w:hAnsiTheme="majorHAnsi"/>
              </w:rPr>
            </w:pPr>
            <w:r w:rsidRPr="003F25EB">
              <w:rPr>
                <w:rFonts w:asciiTheme="majorHAnsi" w:hAnsiTheme="majorHAnsi"/>
              </w:rPr>
              <w:t>En exercice</w:t>
            </w:r>
          </w:p>
        </w:tc>
        <w:tc>
          <w:tcPr>
            <w:tcW w:w="1152" w:type="dxa"/>
          </w:tcPr>
          <w:p w14:paraId="16522B3F" w14:textId="77777777" w:rsidR="004C4969" w:rsidRPr="003F25EB" w:rsidRDefault="004C4969" w:rsidP="00153029">
            <w:pPr>
              <w:jc w:val="right"/>
              <w:rPr>
                <w:rFonts w:asciiTheme="majorHAnsi" w:hAnsiTheme="majorHAnsi"/>
              </w:rPr>
            </w:pPr>
            <w:r>
              <w:rPr>
                <w:rFonts w:asciiTheme="majorHAnsi" w:hAnsiTheme="majorHAnsi"/>
              </w:rPr>
              <w:t>20</w:t>
            </w:r>
          </w:p>
        </w:tc>
        <w:tc>
          <w:tcPr>
            <w:tcW w:w="1622" w:type="dxa"/>
            <w:vMerge w:val="restart"/>
            <w:vAlign w:val="center"/>
          </w:tcPr>
          <w:p w14:paraId="6951CCA7" w14:textId="77777777" w:rsidR="004C4969" w:rsidRPr="003F25EB" w:rsidRDefault="004C4969" w:rsidP="00153029">
            <w:pPr>
              <w:jc w:val="both"/>
              <w:rPr>
                <w:rFonts w:asciiTheme="majorHAnsi" w:hAnsiTheme="majorHAnsi"/>
              </w:rPr>
            </w:pPr>
            <w:r w:rsidRPr="003F25EB">
              <w:rPr>
                <w:rFonts w:asciiTheme="majorHAnsi" w:hAnsiTheme="majorHAnsi"/>
              </w:rPr>
              <w:t>Vote</w:t>
            </w:r>
          </w:p>
        </w:tc>
        <w:tc>
          <w:tcPr>
            <w:tcW w:w="1492" w:type="dxa"/>
          </w:tcPr>
          <w:p w14:paraId="0225086D" w14:textId="77777777" w:rsidR="004C4969" w:rsidRPr="003F25EB" w:rsidRDefault="004C4969" w:rsidP="00153029">
            <w:pPr>
              <w:rPr>
                <w:rFonts w:asciiTheme="majorHAnsi" w:hAnsiTheme="majorHAnsi"/>
              </w:rPr>
            </w:pPr>
            <w:r w:rsidRPr="003F25EB">
              <w:rPr>
                <w:rFonts w:asciiTheme="majorHAnsi" w:hAnsiTheme="majorHAnsi"/>
              </w:rPr>
              <w:t>Refus de vote</w:t>
            </w:r>
          </w:p>
        </w:tc>
        <w:tc>
          <w:tcPr>
            <w:tcW w:w="1492" w:type="dxa"/>
          </w:tcPr>
          <w:p w14:paraId="61C0E455" w14:textId="77777777" w:rsidR="004C4969" w:rsidRPr="003F25EB" w:rsidRDefault="004C4969" w:rsidP="00153029">
            <w:pPr>
              <w:jc w:val="right"/>
              <w:rPr>
                <w:rFonts w:asciiTheme="majorHAnsi" w:hAnsiTheme="majorHAnsi"/>
              </w:rPr>
            </w:pPr>
            <w:r>
              <w:rPr>
                <w:rFonts w:asciiTheme="majorHAnsi" w:hAnsiTheme="majorHAnsi"/>
              </w:rPr>
              <w:t>0</w:t>
            </w:r>
          </w:p>
        </w:tc>
      </w:tr>
      <w:tr w:rsidR="004C4969" w:rsidRPr="003F25EB" w14:paraId="3C973F29" w14:textId="77777777" w:rsidTr="00153029">
        <w:trPr>
          <w:trHeight w:val="244"/>
        </w:trPr>
        <w:tc>
          <w:tcPr>
            <w:tcW w:w="2303" w:type="dxa"/>
            <w:vMerge/>
          </w:tcPr>
          <w:p w14:paraId="09B7A163" w14:textId="77777777" w:rsidR="004C4969" w:rsidRPr="003F25EB" w:rsidRDefault="004C4969" w:rsidP="00153029">
            <w:pPr>
              <w:jc w:val="both"/>
              <w:rPr>
                <w:rFonts w:asciiTheme="majorHAnsi" w:hAnsiTheme="majorHAnsi"/>
              </w:rPr>
            </w:pPr>
          </w:p>
        </w:tc>
        <w:tc>
          <w:tcPr>
            <w:tcW w:w="1188" w:type="dxa"/>
          </w:tcPr>
          <w:p w14:paraId="64B6FECC" w14:textId="77777777" w:rsidR="004C4969" w:rsidRPr="003F25EB" w:rsidRDefault="004C4969" w:rsidP="00153029">
            <w:pPr>
              <w:jc w:val="both"/>
              <w:rPr>
                <w:rFonts w:asciiTheme="majorHAnsi" w:hAnsiTheme="majorHAnsi"/>
              </w:rPr>
            </w:pPr>
            <w:r w:rsidRPr="003F25EB">
              <w:rPr>
                <w:rFonts w:asciiTheme="majorHAnsi" w:hAnsiTheme="majorHAnsi"/>
              </w:rPr>
              <w:t>Présents</w:t>
            </w:r>
          </w:p>
        </w:tc>
        <w:tc>
          <w:tcPr>
            <w:tcW w:w="1152" w:type="dxa"/>
          </w:tcPr>
          <w:p w14:paraId="5B59BBEA" w14:textId="35B30A9A" w:rsidR="004C4969" w:rsidRPr="003F25EB" w:rsidRDefault="004C4969" w:rsidP="00153029">
            <w:pPr>
              <w:jc w:val="right"/>
              <w:rPr>
                <w:rFonts w:asciiTheme="majorHAnsi" w:hAnsiTheme="majorHAnsi"/>
              </w:rPr>
            </w:pPr>
          </w:p>
        </w:tc>
        <w:tc>
          <w:tcPr>
            <w:tcW w:w="1622" w:type="dxa"/>
            <w:vMerge/>
          </w:tcPr>
          <w:p w14:paraId="1C8AD7C0" w14:textId="77777777" w:rsidR="004C4969" w:rsidRPr="003F25EB" w:rsidRDefault="004C4969" w:rsidP="00153029">
            <w:pPr>
              <w:jc w:val="both"/>
              <w:rPr>
                <w:rFonts w:asciiTheme="majorHAnsi" w:hAnsiTheme="majorHAnsi"/>
              </w:rPr>
            </w:pPr>
          </w:p>
        </w:tc>
        <w:tc>
          <w:tcPr>
            <w:tcW w:w="1492" w:type="dxa"/>
          </w:tcPr>
          <w:p w14:paraId="1583AF21" w14:textId="77777777" w:rsidR="004C4969" w:rsidRPr="003F25EB" w:rsidRDefault="004C4969" w:rsidP="00153029">
            <w:pPr>
              <w:rPr>
                <w:rFonts w:asciiTheme="majorHAnsi" w:hAnsiTheme="majorHAnsi"/>
              </w:rPr>
            </w:pPr>
            <w:r w:rsidRPr="003F25EB">
              <w:rPr>
                <w:rFonts w:asciiTheme="majorHAnsi" w:hAnsiTheme="majorHAnsi"/>
              </w:rPr>
              <w:t>Abstention</w:t>
            </w:r>
          </w:p>
        </w:tc>
        <w:tc>
          <w:tcPr>
            <w:tcW w:w="1492" w:type="dxa"/>
          </w:tcPr>
          <w:p w14:paraId="77E23850" w14:textId="77777777" w:rsidR="004C4969" w:rsidRPr="003F25EB" w:rsidRDefault="004C4969" w:rsidP="00153029">
            <w:pPr>
              <w:jc w:val="right"/>
              <w:rPr>
                <w:rFonts w:asciiTheme="majorHAnsi" w:hAnsiTheme="majorHAnsi"/>
              </w:rPr>
            </w:pPr>
            <w:r>
              <w:rPr>
                <w:rFonts w:asciiTheme="majorHAnsi" w:hAnsiTheme="majorHAnsi"/>
              </w:rPr>
              <w:t>0</w:t>
            </w:r>
          </w:p>
        </w:tc>
      </w:tr>
      <w:tr w:rsidR="004C4969" w:rsidRPr="003F25EB" w14:paraId="74AF43F1" w14:textId="77777777" w:rsidTr="00153029">
        <w:trPr>
          <w:trHeight w:val="244"/>
        </w:trPr>
        <w:tc>
          <w:tcPr>
            <w:tcW w:w="2303" w:type="dxa"/>
            <w:vMerge/>
          </w:tcPr>
          <w:p w14:paraId="115EE987" w14:textId="77777777" w:rsidR="004C4969" w:rsidRPr="003F25EB" w:rsidRDefault="004C4969" w:rsidP="00153029">
            <w:pPr>
              <w:jc w:val="both"/>
              <w:rPr>
                <w:rFonts w:asciiTheme="majorHAnsi" w:hAnsiTheme="majorHAnsi"/>
              </w:rPr>
            </w:pPr>
          </w:p>
        </w:tc>
        <w:tc>
          <w:tcPr>
            <w:tcW w:w="1188" w:type="dxa"/>
            <w:vMerge w:val="restart"/>
          </w:tcPr>
          <w:p w14:paraId="0131AD86" w14:textId="77777777" w:rsidR="004C4969" w:rsidRPr="003F25EB" w:rsidRDefault="004C4969" w:rsidP="00153029">
            <w:pPr>
              <w:jc w:val="both"/>
              <w:rPr>
                <w:rFonts w:asciiTheme="majorHAnsi" w:hAnsiTheme="majorHAnsi"/>
              </w:rPr>
            </w:pPr>
            <w:r w:rsidRPr="003F25EB">
              <w:rPr>
                <w:rFonts w:asciiTheme="majorHAnsi" w:hAnsiTheme="majorHAnsi"/>
              </w:rPr>
              <w:t>représentés</w:t>
            </w:r>
          </w:p>
        </w:tc>
        <w:tc>
          <w:tcPr>
            <w:tcW w:w="1152" w:type="dxa"/>
            <w:vMerge w:val="restart"/>
          </w:tcPr>
          <w:p w14:paraId="69DA9A1C" w14:textId="30AA8286" w:rsidR="004C4969" w:rsidRPr="003F25EB" w:rsidRDefault="004C4969" w:rsidP="00153029">
            <w:pPr>
              <w:jc w:val="right"/>
              <w:rPr>
                <w:rFonts w:asciiTheme="majorHAnsi" w:hAnsiTheme="majorHAnsi"/>
              </w:rPr>
            </w:pPr>
          </w:p>
        </w:tc>
        <w:tc>
          <w:tcPr>
            <w:tcW w:w="1622" w:type="dxa"/>
            <w:vMerge/>
          </w:tcPr>
          <w:p w14:paraId="0257195D" w14:textId="77777777" w:rsidR="004C4969" w:rsidRPr="003F25EB" w:rsidRDefault="004C4969" w:rsidP="00153029">
            <w:pPr>
              <w:jc w:val="both"/>
              <w:rPr>
                <w:rFonts w:asciiTheme="majorHAnsi" w:hAnsiTheme="majorHAnsi"/>
              </w:rPr>
            </w:pPr>
          </w:p>
        </w:tc>
        <w:tc>
          <w:tcPr>
            <w:tcW w:w="1492" w:type="dxa"/>
          </w:tcPr>
          <w:p w14:paraId="6274C705" w14:textId="77777777" w:rsidR="004C4969" w:rsidRPr="003F25EB" w:rsidRDefault="004C4969" w:rsidP="00153029">
            <w:pPr>
              <w:rPr>
                <w:rFonts w:asciiTheme="majorHAnsi" w:hAnsiTheme="majorHAnsi"/>
              </w:rPr>
            </w:pPr>
            <w:r w:rsidRPr="003F25EB">
              <w:rPr>
                <w:rFonts w:asciiTheme="majorHAnsi" w:hAnsiTheme="majorHAnsi"/>
              </w:rPr>
              <w:t>Contre</w:t>
            </w:r>
          </w:p>
        </w:tc>
        <w:tc>
          <w:tcPr>
            <w:tcW w:w="1492" w:type="dxa"/>
          </w:tcPr>
          <w:p w14:paraId="3503FA8A" w14:textId="77777777" w:rsidR="004C4969" w:rsidRPr="003F25EB" w:rsidRDefault="004C4969" w:rsidP="00153029">
            <w:pPr>
              <w:jc w:val="right"/>
              <w:rPr>
                <w:rFonts w:asciiTheme="majorHAnsi" w:hAnsiTheme="majorHAnsi"/>
              </w:rPr>
            </w:pPr>
            <w:r>
              <w:rPr>
                <w:rFonts w:asciiTheme="majorHAnsi" w:hAnsiTheme="majorHAnsi"/>
              </w:rPr>
              <w:t>0</w:t>
            </w:r>
          </w:p>
        </w:tc>
      </w:tr>
      <w:tr w:rsidR="004C4969" w:rsidRPr="003F25EB" w14:paraId="2719FCB1" w14:textId="77777777" w:rsidTr="00153029">
        <w:trPr>
          <w:trHeight w:val="244"/>
        </w:trPr>
        <w:tc>
          <w:tcPr>
            <w:tcW w:w="2303" w:type="dxa"/>
            <w:vMerge/>
          </w:tcPr>
          <w:p w14:paraId="02CE5D28" w14:textId="77777777" w:rsidR="004C4969" w:rsidRPr="003F25EB" w:rsidRDefault="004C4969" w:rsidP="00153029">
            <w:pPr>
              <w:jc w:val="both"/>
              <w:rPr>
                <w:rFonts w:asciiTheme="majorHAnsi" w:hAnsiTheme="majorHAnsi"/>
              </w:rPr>
            </w:pPr>
          </w:p>
        </w:tc>
        <w:tc>
          <w:tcPr>
            <w:tcW w:w="1188" w:type="dxa"/>
            <w:vMerge/>
          </w:tcPr>
          <w:p w14:paraId="41D86A86" w14:textId="77777777" w:rsidR="004C4969" w:rsidRPr="003F25EB" w:rsidRDefault="004C4969" w:rsidP="00153029">
            <w:pPr>
              <w:jc w:val="both"/>
              <w:rPr>
                <w:rFonts w:asciiTheme="majorHAnsi" w:hAnsiTheme="majorHAnsi"/>
              </w:rPr>
            </w:pPr>
          </w:p>
        </w:tc>
        <w:tc>
          <w:tcPr>
            <w:tcW w:w="1152" w:type="dxa"/>
            <w:vMerge/>
          </w:tcPr>
          <w:p w14:paraId="267B69DB" w14:textId="77777777" w:rsidR="004C4969" w:rsidRPr="003F25EB" w:rsidRDefault="004C4969" w:rsidP="00153029">
            <w:pPr>
              <w:jc w:val="both"/>
              <w:rPr>
                <w:rFonts w:asciiTheme="majorHAnsi" w:hAnsiTheme="majorHAnsi"/>
              </w:rPr>
            </w:pPr>
          </w:p>
        </w:tc>
        <w:tc>
          <w:tcPr>
            <w:tcW w:w="1622" w:type="dxa"/>
            <w:vMerge/>
          </w:tcPr>
          <w:p w14:paraId="6798B280" w14:textId="77777777" w:rsidR="004C4969" w:rsidRPr="003F25EB" w:rsidRDefault="004C4969" w:rsidP="00153029">
            <w:pPr>
              <w:jc w:val="both"/>
              <w:rPr>
                <w:rFonts w:asciiTheme="majorHAnsi" w:hAnsiTheme="majorHAnsi"/>
              </w:rPr>
            </w:pPr>
          </w:p>
        </w:tc>
        <w:tc>
          <w:tcPr>
            <w:tcW w:w="1492" w:type="dxa"/>
          </w:tcPr>
          <w:p w14:paraId="6804BE53" w14:textId="77777777" w:rsidR="004C4969" w:rsidRPr="003F25EB" w:rsidRDefault="004C4969" w:rsidP="00153029">
            <w:pPr>
              <w:rPr>
                <w:rFonts w:asciiTheme="majorHAnsi" w:hAnsiTheme="majorHAnsi"/>
              </w:rPr>
            </w:pPr>
            <w:r w:rsidRPr="003F25EB">
              <w:rPr>
                <w:rFonts w:asciiTheme="majorHAnsi" w:hAnsiTheme="majorHAnsi"/>
              </w:rPr>
              <w:t>Pour</w:t>
            </w:r>
          </w:p>
        </w:tc>
        <w:tc>
          <w:tcPr>
            <w:tcW w:w="1492" w:type="dxa"/>
          </w:tcPr>
          <w:p w14:paraId="19067096" w14:textId="6D2EA00A" w:rsidR="004C4969" w:rsidRPr="003F25EB" w:rsidRDefault="004C4969" w:rsidP="00153029">
            <w:pPr>
              <w:jc w:val="right"/>
              <w:rPr>
                <w:rFonts w:asciiTheme="majorHAnsi" w:hAnsiTheme="majorHAnsi"/>
              </w:rPr>
            </w:pPr>
          </w:p>
        </w:tc>
      </w:tr>
      <w:tr w:rsidR="004C4969" w:rsidRPr="003F25EB" w14:paraId="75A9DD38" w14:textId="77777777" w:rsidTr="00153029">
        <w:trPr>
          <w:trHeight w:val="245"/>
        </w:trPr>
        <w:tc>
          <w:tcPr>
            <w:tcW w:w="2303" w:type="dxa"/>
            <w:vMerge/>
          </w:tcPr>
          <w:p w14:paraId="2AFFCFBE" w14:textId="77777777" w:rsidR="004C4969" w:rsidRPr="003F25EB" w:rsidRDefault="004C4969" w:rsidP="00153029">
            <w:pPr>
              <w:jc w:val="both"/>
              <w:rPr>
                <w:rFonts w:asciiTheme="majorHAnsi" w:hAnsiTheme="majorHAnsi"/>
              </w:rPr>
            </w:pPr>
          </w:p>
        </w:tc>
        <w:tc>
          <w:tcPr>
            <w:tcW w:w="1188" w:type="dxa"/>
            <w:vMerge/>
          </w:tcPr>
          <w:p w14:paraId="32D183C4" w14:textId="77777777" w:rsidR="004C4969" w:rsidRPr="003F25EB" w:rsidRDefault="004C4969" w:rsidP="00153029">
            <w:pPr>
              <w:jc w:val="both"/>
              <w:rPr>
                <w:rFonts w:asciiTheme="majorHAnsi" w:hAnsiTheme="majorHAnsi"/>
              </w:rPr>
            </w:pPr>
          </w:p>
        </w:tc>
        <w:tc>
          <w:tcPr>
            <w:tcW w:w="1152" w:type="dxa"/>
            <w:vMerge/>
          </w:tcPr>
          <w:p w14:paraId="2AB8C494" w14:textId="77777777" w:rsidR="004C4969" w:rsidRPr="003F25EB" w:rsidRDefault="004C4969" w:rsidP="00153029">
            <w:pPr>
              <w:jc w:val="both"/>
              <w:rPr>
                <w:rFonts w:asciiTheme="majorHAnsi" w:hAnsiTheme="majorHAnsi"/>
              </w:rPr>
            </w:pPr>
          </w:p>
        </w:tc>
        <w:tc>
          <w:tcPr>
            <w:tcW w:w="1622" w:type="dxa"/>
            <w:vMerge/>
          </w:tcPr>
          <w:p w14:paraId="0D5A3B75" w14:textId="77777777" w:rsidR="004C4969" w:rsidRPr="003F25EB" w:rsidRDefault="004C4969" w:rsidP="00153029">
            <w:pPr>
              <w:jc w:val="both"/>
              <w:rPr>
                <w:rFonts w:asciiTheme="majorHAnsi" w:hAnsiTheme="majorHAnsi"/>
              </w:rPr>
            </w:pPr>
          </w:p>
        </w:tc>
        <w:tc>
          <w:tcPr>
            <w:tcW w:w="1492" w:type="dxa"/>
          </w:tcPr>
          <w:p w14:paraId="59A7BB3D" w14:textId="77777777" w:rsidR="004C4969" w:rsidRPr="003F25EB" w:rsidRDefault="004C4969" w:rsidP="00153029">
            <w:pPr>
              <w:rPr>
                <w:rFonts w:asciiTheme="majorHAnsi" w:hAnsiTheme="majorHAnsi"/>
              </w:rPr>
            </w:pPr>
            <w:r w:rsidRPr="003F25EB">
              <w:rPr>
                <w:rFonts w:asciiTheme="majorHAnsi" w:hAnsiTheme="majorHAnsi"/>
              </w:rPr>
              <w:t>Ne se prononce pas</w:t>
            </w:r>
          </w:p>
        </w:tc>
        <w:tc>
          <w:tcPr>
            <w:tcW w:w="1492" w:type="dxa"/>
          </w:tcPr>
          <w:p w14:paraId="12C6F4CB" w14:textId="77777777" w:rsidR="004C4969" w:rsidRPr="003F25EB" w:rsidRDefault="004C4969" w:rsidP="00153029">
            <w:pPr>
              <w:jc w:val="right"/>
              <w:rPr>
                <w:rFonts w:asciiTheme="majorHAnsi" w:hAnsiTheme="majorHAnsi"/>
              </w:rPr>
            </w:pPr>
            <w:r>
              <w:rPr>
                <w:rFonts w:asciiTheme="majorHAnsi" w:hAnsiTheme="majorHAnsi"/>
              </w:rPr>
              <w:t>0</w:t>
            </w:r>
          </w:p>
        </w:tc>
      </w:tr>
    </w:tbl>
    <w:p w14:paraId="5BDE0C08" w14:textId="77777777" w:rsidR="007542A9" w:rsidRDefault="007542A9" w:rsidP="007542A9">
      <w:pPr>
        <w:jc w:val="both"/>
        <w:rPr>
          <w:rFonts w:asciiTheme="majorHAnsi" w:hAnsiTheme="majorHAnsi"/>
          <w:b/>
        </w:rPr>
      </w:pPr>
    </w:p>
    <w:p w14:paraId="25F04D91" w14:textId="2FE44068" w:rsidR="00FE2E96" w:rsidRDefault="00C13570" w:rsidP="00FE2E96">
      <w:pPr>
        <w:pBdr>
          <w:top w:val="single" w:sz="4" w:space="1" w:color="auto"/>
          <w:left w:val="single" w:sz="4" w:space="4" w:color="auto"/>
          <w:bottom w:val="single" w:sz="4" w:space="1" w:color="auto"/>
          <w:right w:val="single" w:sz="4" w:space="4" w:color="auto"/>
        </w:pBdr>
        <w:jc w:val="both"/>
        <w:rPr>
          <w:rFonts w:asciiTheme="majorHAnsi" w:hAnsiTheme="majorHAnsi"/>
        </w:rPr>
      </w:pPr>
      <w:r>
        <w:rPr>
          <w:rFonts w:asciiTheme="majorHAnsi" w:hAnsiTheme="majorHAnsi"/>
          <w:b/>
        </w:rPr>
        <w:t>Délibération CD2016-10</w:t>
      </w:r>
      <w:r w:rsidR="00FE2E96">
        <w:rPr>
          <w:rFonts w:asciiTheme="majorHAnsi" w:hAnsiTheme="majorHAnsi"/>
          <w:b/>
        </w:rPr>
        <w:t xml:space="preserve"> : </w:t>
      </w:r>
      <w:r w:rsidR="00742364">
        <w:rPr>
          <w:rFonts w:asciiTheme="majorHAnsi" w:hAnsiTheme="majorHAnsi"/>
          <w:b/>
        </w:rPr>
        <w:t>Déploiement du SIGB Aleph à la Bibliothèque La Pérouse</w:t>
      </w:r>
    </w:p>
    <w:p w14:paraId="40391AAB" w14:textId="77777777" w:rsidR="00CF2154" w:rsidRPr="00CF2154" w:rsidRDefault="00CF2154" w:rsidP="00CF2154">
      <w:pPr>
        <w:pStyle w:val="normal0"/>
        <w:rPr>
          <w:rFonts w:asciiTheme="majorHAnsi" w:hAnsiTheme="majorHAnsi"/>
          <w:sz w:val="24"/>
          <w:szCs w:val="24"/>
        </w:rPr>
      </w:pPr>
    </w:p>
    <w:p w14:paraId="2B47BFD8" w14:textId="77777777" w:rsidR="003046DA" w:rsidRPr="003046DA" w:rsidRDefault="003046DA" w:rsidP="003046DA">
      <w:pPr>
        <w:jc w:val="both"/>
        <w:rPr>
          <w:rFonts w:asciiTheme="majorHAnsi" w:hAnsiTheme="majorHAnsi"/>
        </w:rPr>
      </w:pPr>
      <w:r w:rsidRPr="003046DA">
        <w:rPr>
          <w:rFonts w:asciiTheme="majorHAnsi" w:hAnsiTheme="majorHAnsi"/>
        </w:rPr>
        <w:t>La Bibliothèque La Pérouse est une bibliothèque de recherche spécialisée dans le domaine marin. Elle est gérée de façon tripartite par l’UBO, l’Ifremer et l’Institut de Recherche pour le Développement. L’UBO y contribue notamment par la maintenance des locaux (dont elle est propriétaire), l’affectation de 2 agents, l’achat de mobilier et de matériel informatique, et par l’attribution de crédits pour des achats documentaires.</w:t>
      </w:r>
    </w:p>
    <w:p w14:paraId="7A978BCB" w14:textId="574DCAC4" w:rsidR="003046DA" w:rsidRPr="003046DA" w:rsidRDefault="003046DA" w:rsidP="003046DA">
      <w:pPr>
        <w:jc w:val="both"/>
        <w:rPr>
          <w:rFonts w:asciiTheme="majorHAnsi" w:hAnsiTheme="majorHAnsi"/>
        </w:rPr>
      </w:pPr>
      <w:r w:rsidRPr="003046DA">
        <w:rPr>
          <w:rFonts w:asciiTheme="majorHAnsi" w:hAnsiTheme="majorHAnsi"/>
        </w:rPr>
        <w:t>Des défaillances importantes du système de gestion de bibliothèque utilisé par la BLP</w:t>
      </w:r>
      <w:r w:rsidR="003B0C48">
        <w:rPr>
          <w:rFonts w:asciiTheme="majorHAnsi" w:hAnsiTheme="majorHAnsi"/>
        </w:rPr>
        <w:t xml:space="preserve"> (sous gestion Ifremer)</w:t>
      </w:r>
      <w:r w:rsidRPr="003046DA">
        <w:rPr>
          <w:rFonts w:asciiTheme="majorHAnsi" w:hAnsiTheme="majorHAnsi"/>
        </w:rPr>
        <w:t xml:space="preserve"> pour le signalement de ses collections </w:t>
      </w:r>
      <w:proofErr w:type="gramStart"/>
      <w:r w:rsidRPr="003046DA">
        <w:rPr>
          <w:rFonts w:asciiTheme="majorHAnsi" w:hAnsiTheme="majorHAnsi"/>
        </w:rPr>
        <w:t>ont</w:t>
      </w:r>
      <w:proofErr w:type="gramEnd"/>
      <w:r w:rsidRPr="003046DA">
        <w:rPr>
          <w:rFonts w:asciiTheme="majorHAnsi" w:hAnsiTheme="majorHAnsi"/>
        </w:rPr>
        <w:t xml:space="preserve"> été constatées. La migration des notices bibliographiques dans le logiciel WMS, en 2013, s’est faite dans de mauvaises conditions. Par ailleurs, ce système de gestion de bibliothèque n’a jamais eu d’administrateur. Il en résulte qu’une partie seulement des collections de la BLP est signalée convenablement dans son catalogue accessible en ligne et intégré au méta-catalogue </w:t>
      </w:r>
      <w:proofErr w:type="spellStart"/>
      <w:r w:rsidRPr="003046DA">
        <w:rPr>
          <w:rFonts w:asciiTheme="majorHAnsi" w:hAnsiTheme="majorHAnsi"/>
        </w:rPr>
        <w:t>WorldCat</w:t>
      </w:r>
      <w:proofErr w:type="spellEnd"/>
      <w:r w:rsidRPr="003046DA">
        <w:rPr>
          <w:rFonts w:asciiTheme="majorHAnsi" w:hAnsiTheme="majorHAnsi"/>
        </w:rPr>
        <w:t xml:space="preserve"> : </w:t>
      </w:r>
      <w:hyperlink r:id="rId6" w:history="1">
        <w:r w:rsidRPr="003046DA">
          <w:rPr>
            <w:rStyle w:val="Lienhypertexte"/>
            <w:rFonts w:asciiTheme="majorHAnsi" w:hAnsiTheme="majorHAnsi"/>
          </w:rPr>
          <w:t>http://ifremer.worldcat.org/</w:t>
        </w:r>
      </w:hyperlink>
      <w:r w:rsidRPr="003046DA">
        <w:rPr>
          <w:rFonts w:asciiTheme="majorHAnsi" w:hAnsiTheme="majorHAnsi"/>
        </w:rPr>
        <w:t>. Les collections de la BLP ne sont donc pas visibles de manière unifiée et dans leur totalité pour les étudiants et chercheurs de l’UBO, alors même qu’une partie de ces fonds a été acquise sur crédits UBO.</w:t>
      </w:r>
    </w:p>
    <w:p w14:paraId="22DAF225" w14:textId="77777777" w:rsidR="003046DA" w:rsidRPr="003046DA" w:rsidRDefault="003046DA" w:rsidP="003046DA">
      <w:pPr>
        <w:jc w:val="both"/>
        <w:rPr>
          <w:rFonts w:asciiTheme="majorHAnsi" w:hAnsiTheme="majorHAnsi"/>
        </w:rPr>
      </w:pPr>
      <w:r w:rsidRPr="003046DA">
        <w:rPr>
          <w:rFonts w:asciiTheme="majorHAnsi" w:hAnsiTheme="majorHAnsi"/>
        </w:rPr>
        <w:t>Pour améliorer la visibilité de ces collections, il serait souhaitable de les signaler dans le catalogue collectif national SUDOC et de récupérer ces données dans Aleph, le Système Intégré de Gestion de Bibliothèque (SIGB) utilisé par le SCD, pour qu’elles soient accessibles et dans le SUDOC et dans le catalogue local de l’UBO.</w:t>
      </w:r>
    </w:p>
    <w:p w14:paraId="4488319C" w14:textId="77777777" w:rsidR="003046DA" w:rsidRPr="003046DA" w:rsidRDefault="003046DA" w:rsidP="003046DA">
      <w:pPr>
        <w:jc w:val="both"/>
        <w:rPr>
          <w:rFonts w:asciiTheme="majorHAnsi" w:hAnsiTheme="majorHAnsi"/>
        </w:rPr>
      </w:pPr>
    </w:p>
    <w:p w14:paraId="37E4020B" w14:textId="77777777" w:rsidR="003046DA" w:rsidRPr="003046DA" w:rsidRDefault="003046DA" w:rsidP="003046DA">
      <w:pPr>
        <w:jc w:val="both"/>
        <w:rPr>
          <w:rFonts w:asciiTheme="majorHAnsi" w:hAnsiTheme="majorHAnsi"/>
        </w:rPr>
      </w:pPr>
      <w:r w:rsidRPr="003046DA">
        <w:rPr>
          <w:rFonts w:asciiTheme="majorHAnsi" w:hAnsiTheme="majorHAnsi"/>
        </w:rPr>
        <w:t xml:space="preserve">Il est demandé au Conseil documentaire de se prononcer sur le principe de l’ouverture d’un port Aleph à la BLP pour la reprise des données SUDOC touchant les collections acquises sur crédits UBO, afin qu’elles puissent être signalées dans le catalogue de l’UBO. </w:t>
      </w:r>
    </w:p>
    <w:p w14:paraId="5E68A42F" w14:textId="77777777" w:rsidR="003B0C48" w:rsidRDefault="003B0C48" w:rsidP="003046DA">
      <w:pPr>
        <w:jc w:val="both"/>
        <w:rPr>
          <w:rFonts w:asciiTheme="majorHAnsi" w:hAnsiTheme="majorHAnsi"/>
        </w:rPr>
      </w:pPr>
    </w:p>
    <w:p w14:paraId="412F27B4" w14:textId="77777777" w:rsidR="003046DA" w:rsidRPr="003046DA" w:rsidRDefault="003046DA" w:rsidP="003046DA">
      <w:pPr>
        <w:jc w:val="both"/>
        <w:rPr>
          <w:rFonts w:asciiTheme="majorHAnsi" w:hAnsiTheme="majorHAnsi"/>
        </w:rPr>
      </w:pPr>
      <w:r w:rsidRPr="003046DA">
        <w:rPr>
          <w:rFonts w:asciiTheme="majorHAnsi" w:hAnsiTheme="majorHAnsi"/>
        </w:rPr>
        <w:t xml:space="preserve">L’ouverture de ce port Aleph à la BLP pourrait à terme déboucher sur une </w:t>
      </w:r>
      <w:proofErr w:type="spellStart"/>
      <w:r w:rsidRPr="003046DA">
        <w:rPr>
          <w:rFonts w:asciiTheme="majorHAnsi" w:hAnsiTheme="majorHAnsi"/>
        </w:rPr>
        <w:t>réinformatisation</w:t>
      </w:r>
      <w:proofErr w:type="spellEnd"/>
      <w:r w:rsidRPr="003046DA">
        <w:rPr>
          <w:rFonts w:asciiTheme="majorHAnsi" w:hAnsiTheme="majorHAnsi"/>
        </w:rPr>
        <w:t xml:space="preserve"> de la BLP avec le système utilisé par le SCD dans son réseau de bibliothèques.</w:t>
      </w:r>
    </w:p>
    <w:p w14:paraId="5BE9DCC6" w14:textId="64BFC079" w:rsidR="00CF2154" w:rsidRPr="00CF2154" w:rsidRDefault="00CF2154" w:rsidP="00CF2154">
      <w:pPr>
        <w:pStyle w:val="normal0"/>
        <w:jc w:val="both"/>
        <w:rPr>
          <w:rFonts w:asciiTheme="majorHAnsi" w:hAnsiTheme="majorHAnsi"/>
          <w:sz w:val="24"/>
          <w:szCs w:val="24"/>
        </w:rPr>
      </w:pPr>
    </w:p>
    <w:p w14:paraId="220FE1EA" w14:textId="77777777" w:rsidR="00742364" w:rsidRPr="00CF2154" w:rsidRDefault="00742364" w:rsidP="007542A9">
      <w:pPr>
        <w:jc w:val="both"/>
        <w:rPr>
          <w:rFonts w:asciiTheme="majorHAnsi" w:hAnsiTheme="majorHAnsi"/>
          <w:b/>
        </w:rPr>
      </w:pPr>
    </w:p>
    <w:tbl>
      <w:tblPr>
        <w:tblStyle w:val="Grille"/>
        <w:tblW w:w="0" w:type="auto"/>
        <w:tblLook w:val="01E0" w:firstRow="1" w:lastRow="1" w:firstColumn="1" w:lastColumn="1" w:noHBand="0" w:noVBand="0"/>
      </w:tblPr>
      <w:tblGrid>
        <w:gridCol w:w="2303"/>
        <w:gridCol w:w="1188"/>
        <w:gridCol w:w="1152"/>
        <w:gridCol w:w="1622"/>
        <w:gridCol w:w="1492"/>
        <w:gridCol w:w="1492"/>
      </w:tblGrid>
      <w:tr w:rsidR="00742364" w:rsidRPr="00CF2154" w14:paraId="26AB1F5A" w14:textId="77777777" w:rsidTr="00271F20">
        <w:trPr>
          <w:trHeight w:val="244"/>
        </w:trPr>
        <w:tc>
          <w:tcPr>
            <w:tcW w:w="2303" w:type="dxa"/>
            <w:vMerge w:val="restart"/>
            <w:vAlign w:val="center"/>
          </w:tcPr>
          <w:p w14:paraId="6A7F3433" w14:textId="77777777" w:rsidR="00742364" w:rsidRPr="00CF2154" w:rsidRDefault="00742364" w:rsidP="00271F20">
            <w:pPr>
              <w:jc w:val="both"/>
              <w:rPr>
                <w:rFonts w:asciiTheme="majorHAnsi" w:hAnsiTheme="majorHAnsi"/>
              </w:rPr>
            </w:pPr>
            <w:r w:rsidRPr="00CF2154">
              <w:rPr>
                <w:rFonts w:asciiTheme="majorHAnsi" w:hAnsiTheme="majorHAnsi"/>
              </w:rPr>
              <w:t>Membres</w:t>
            </w:r>
          </w:p>
        </w:tc>
        <w:tc>
          <w:tcPr>
            <w:tcW w:w="1188" w:type="dxa"/>
          </w:tcPr>
          <w:p w14:paraId="2D02661D" w14:textId="77777777" w:rsidR="00742364" w:rsidRPr="00CF2154" w:rsidRDefault="00742364" w:rsidP="00271F20">
            <w:pPr>
              <w:jc w:val="both"/>
              <w:rPr>
                <w:rFonts w:asciiTheme="majorHAnsi" w:hAnsiTheme="majorHAnsi"/>
              </w:rPr>
            </w:pPr>
            <w:r w:rsidRPr="00CF2154">
              <w:rPr>
                <w:rFonts w:asciiTheme="majorHAnsi" w:hAnsiTheme="majorHAnsi"/>
              </w:rPr>
              <w:t>En exercice</w:t>
            </w:r>
          </w:p>
        </w:tc>
        <w:tc>
          <w:tcPr>
            <w:tcW w:w="1152" w:type="dxa"/>
          </w:tcPr>
          <w:p w14:paraId="50143B5A" w14:textId="77777777" w:rsidR="00742364" w:rsidRPr="00CF2154" w:rsidRDefault="00742364" w:rsidP="00271F20">
            <w:pPr>
              <w:jc w:val="right"/>
              <w:rPr>
                <w:rFonts w:asciiTheme="majorHAnsi" w:hAnsiTheme="majorHAnsi"/>
              </w:rPr>
            </w:pPr>
            <w:r w:rsidRPr="00CF2154">
              <w:rPr>
                <w:rFonts w:asciiTheme="majorHAnsi" w:hAnsiTheme="majorHAnsi"/>
              </w:rPr>
              <w:t>20</w:t>
            </w:r>
          </w:p>
        </w:tc>
        <w:tc>
          <w:tcPr>
            <w:tcW w:w="1622" w:type="dxa"/>
            <w:vMerge w:val="restart"/>
            <w:vAlign w:val="center"/>
          </w:tcPr>
          <w:p w14:paraId="3335DD36" w14:textId="77777777" w:rsidR="00742364" w:rsidRPr="00CF2154" w:rsidRDefault="00742364" w:rsidP="00271F20">
            <w:pPr>
              <w:jc w:val="both"/>
              <w:rPr>
                <w:rFonts w:asciiTheme="majorHAnsi" w:hAnsiTheme="majorHAnsi"/>
              </w:rPr>
            </w:pPr>
            <w:r w:rsidRPr="00CF2154">
              <w:rPr>
                <w:rFonts w:asciiTheme="majorHAnsi" w:hAnsiTheme="majorHAnsi"/>
              </w:rPr>
              <w:t>Vote</w:t>
            </w:r>
          </w:p>
        </w:tc>
        <w:tc>
          <w:tcPr>
            <w:tcW w:w="1492" w:type="dxa"/>
          </w:tcPr>
          <w:p w14:paraId="34744193" w14:textId="77777777" w:rsidR="00742364" w:rsidRPr="00CF2154" w:rsidRDefault="00742364" w:rsidP="00271F20">
            <w:pPr>
              <w:rPr>
                <w:rFonts w:asciiTheme="majorHAnsi" w:hAnsiTheme="majorHAnsi"/>
              </w:rPr>
            </w:pPr>
            <w:r w:rsidRPr="00CF2154">
              <w:rPr>
                <w:rFonts w:asciiTheme="majorHAnsi" w:hAnsiTheme="majorHAnsi"/>
              </w:rPr>
              <w:t>Refus de vote</w:t>
            </w:r>
          </w:p>
        </w:tc>
        <w:tc>
          <w:tcPr>
            <w:tcW w:w="1492" w:type="dxa"/>
          </w:tcPr>
          <w:p w14:paraId="6B047FE3" w14:textId="77777777" w:rsidR="00742364" w:rsidRPr="00CF2154" w:rsidRDefault="00742364" w:rsidP="00271F20">
            <w:pPr>
              <w:jc w:val="right"/>
              <w:rPr>
                <w:rFonts w:asciiTheme="majorHAnsi" w:hAnsiTheme="majorHAnsi"/>
              </w:rPr>
            </w:pPr>
            <w:r w:rsidRPr="00CF2154">
              <w:rPr>
                <w:rFonts w:asciiTheme="majorHAnsi" w:hAnsiTheme="majorHAnsi"/>
              </w:rPr>
              <w:t>0</w:t>
            </w:r>
          </w:p>
        </w:tc>
      </w:tr>
      <w:tr w:rsidR="00742364" w:rsidRPr="00CF2154" w14:paraId="03EC4FFA" w14:textId="77777777" w:rsidTr="00271F20">
        <w:trPr>
          <w:trHeight w:val="244"/>
        </w:trPr>
        <w:tc>
          <w:tcPr>
            <w:tcW w:w="2303" w:type="dxa"/>
            <w:vMerge/>
          </w:tcPr>
          <w:p w14:paraId="0DDE8B27" w14:textId="77777777" w:rsidR="00742364" w:rsidRPr="00CF2154" w:rsidRDefault="00742364" w:rsidP="00271F20">
            <w:pPr>
              <w:jc w:val="both"/>
              <w:rPr>
                <w:rFonts w:asciiTheme="majorHAnsi" w:hAnsiTheme="majorHAnsi"/>
              </w:rPr>
            </w:pPr>
          </w:p>
        </w:tc>
        <w:tc>
          <w:tcPr>
            <w:tcW w:w="1188" w:type="dxa"/>
          </w:tcPr>
          <w:p w14:paraId="2D8D0746" w14:textId="77777777" w:rsidR="00742364" w:rsidRPr="00CF2154" w:rsidRDefault="00742364" w:rsidP="00271F20">
            <w:pPr>
              <w:jc w:val="both"/>
              <w:rPr>
                <w:rFonts w:asciiTheme="majorHAnsi" w:hAnsiTheme="majorHAnsi"/>
              </w:rPr>
            </w:pPr>
            <w:r w:rsidRPr="00CF2154">
              <w:rPr>
                <w:rFonts w:asciiTheme="majorHAnsi" w:hAnsiTheme="majorHAnsi"/>
              </w:rPr>
              <w:t>Présents</w:t>
            </w:r>
          </w:p>
        </w:tc>
        <w:tc>
          <w:tcPr>
            <w:tcW w:w="1152" w:type="dxa"/>
          </w:tcPr>
          <w:p w14:paraId="165CD370" w14:textId="77777777" w:rsidR="00742364" w:rsidRPr="00CF2154" w:rsidRDefault="00742364" w:rsidP="00271F20">
            <w:pPr>
              <w:jc w:val="right"/>
              <w:rPr>
                <w:rFonts w:asciiTheme="majorHAnsi" w:hAnsiTheme="majorHAnsi"/>
              </w:rPr>
            </w:pPr>
          </w:p>
        </w:tc>
        <w:tc>
          <w:tcPr>
            <w:tcW w:w="1622" w:type="dxa"/>
            <w:vMerge/>
          </w:tcPr>
          <w:p w14:paraId="02281C59" w14:textId="77777777" w:rsidR="00742364" w:rsidRPr="00CF2154" w:rsidRDefault="00742364" w:rsidP="00271F20">
            <w:pPr>
              <w:jc w:val="both"/>
              <w:rPr>
                <w:rFonts w:asciiTheme="majorHAnsi" w:hAnsiTheme="majorHAnsi"/>
              </w:rPr>
            </w:pPr>
          </w:p>
        </w:tc>
        <w:tc>
          <w:tcPr>
            <w:tcW w:w="1492" w:type="dxa"/>
          </w:tcPr>
          <w:p w14:paraId="57D43FB2" w14:textId="77777777" w:rsidR="00742364" w:rsidRPr="00CF2154" w:rsidRDefault="00742364" w:rsidP="00271F20">
            <w:pPr>
              <w:rPr>
                <w:rFonts w:asciiTheme="majorHAnsi" w:hAnsiTheme="majorHAnsi"/>
              </w:rPr>
            </w:pPr>
            <w:r w:rsidRPr="00CF2154">
              <w:rPr>
                <w:rFonts w:asciiTheme="majorHAnsi" w:hAnsiTheme="majorHAnsi"/>
              </w:rPr>
              <w:t>Abstention</w:t>
            </w:r>
          </w:p>
        </w:tc>
        <w:tc>
          <w:tcPr>
            <w:tcW w:w="1492" w:type="dxa"/>
          </w:tcPr>
          <w:p w14:paraId="049C86CE" w14:textId="77777777" w:rsidR="00742364" w:rsidRPr="00CF2154" w:rsidRDefault="00742364" w:rsidP="00271F20">
            <w:pPr>
              <w:jc w:val="right"/>
              <w:rPr>
                <w:rFonts w:asciiTheme="majorHAnsi" w:hAnsiTheme="majorHAnsi"/>
              </w:rPr>
            </w:pPr>
            <w:r w:rsidRPr="00CF2154">
              <w:rPr>
                <w:rFonts w:asciiTheme="majorHAnsi" w:hAnsiTheme="majorHAnsi"/>
              </w:rPr>
              <w:t>0</w:t>
            </w:r>
          </w:p>
        </w:tc>
      </w:tr>
      <w:tr w:rsidR="00742364" w:rsidRPr="00CF2154" w14:paraId="53F930C4" w14:textId="77777777" w:rsidTr="00271F20">
        <w:trPr>
          <w:trHeight w:val="244"/>
        </w:trPr>
        <w:tc>
          <w:tcPr>
            <w:tcW w:w="2303" w:type="dxa"/>
            <w:vMerge/>
          </w:tcPr>
          <w:p w14:paraId="1BC4D3B5" w14:textId="77777777" w:rsidR="00742364" w:rsidRPr="00CF2154" w:rsidRDefault="00742364" w:rsidP="00271F20">
            <w:pPr>
              <w:jc w:val="both"/>
              <w:rPr>
                <w:rFonts w:asciiTheme="majorHAnsi" w:hAnsiTheme="majorHAnsi"/>
              </w:rPr>
            </w:pPr>
          </w:p>
        </w:tc>
        <w:tc>
          <w:tcPr>
            <w:tcW w:w="1188" w:type="dxa"/>
            <w:vMerge w:val="restart"/>
          </w:tcPr>
          <w:p w14:paraId="68FA8ED5" w14:textId="77777777" w:rsidR="00742364" w:rsidRPr="00CF2154" w:rsidRDefault="00742364" w:rsidP="00271F20">
            <w:pPr>
              <w:jc w:val="both"/>
              <w:rPr>
                <w:rFonts w:asciiTheme="majorHAnsi" w:hAnsiTheme="majorHAnsi"/>
              </w:rPr>
            </w:pPr>
            <w:r w:rsidRPr="00CF2154">
              <w:rPr>
                <w:rFonts w:asciiTheme="majorHAnsi" w:hAnsiTheme="majorHAnsi"/>
              </w:rPr>
              <w:t>représentés</w:t>
            </w:r>
          </w:p>
        </w:tc>
        <w:tc>
          <w:tcPr>
            <w:tcW w:w="1152" w:type="dxa"/>
            <w:vMerge w:val="restart"/>
          </w:tcPr>
          <w:p w14:paraId="6F46778A" w14:textId="77777777" w:rsidR="00742364" w:rsidRPr="00CF2154" w:rsidRDefault="00742364" w:rsidP="00271F20">
            <w:pPr>
              <w:jc w:val="right"/>
              <w:rPr>
                <w:rFonts w:asciiTheme="majorHAnsi" w:hAnsiTheme="majorHAnsi"/>
              </w:rPr>
            </w:pPr>
          </w:p>
        </w:tc>
        <w:tc>
          <w:tcPr>
            <w:tcW w:w="1622" w:type="dxa"/>
            <w:vMerge/>
          </w:tcPr>
          <w:p w14:paraId="7D64D421" w14:textId="77777777" w:rsidR="00742364" w:rsidRPr="00CF2154" w:rsidRDefault="00742364" w:rsidP="00271F20">
            <w:pPr>
              <w:jc w:val="both"/>
              <w:rPr>
                <w:rFonts w:asciiTheme="majorHAnsi" w:hAnsiTheme="majorHAnsi"/>
              </w:rPr>
            </w:pPr>
          </w:p>
        </w:tc>
        <w:tc>
          <w:tcPr>
            <w:tcW w:w="1492" w:type="dxa"/>
          </w:tcPr>
          <w:p w14:paraId="202ADE84" w14:textId="77777777" w:rsidR="00742364" w:rsidRPr="00CF2154" w:rsidRDefault="00742364" w:rsidP="00271F20">
            <w:pPr>
              <w:rPr>
                <w:rFonts w:asciiTheme="majorHAnsi" w:hAnsiTheme="majorHAnsi"/>
              </w:rPr>
            </w:pPr>
            <w:r w:rsidRPr="00CF2154">
              <w:rPr>
                <w:rFonts w:asciiTheme="majorHAnsi" w:hAnsiTheme="majorHAnsi"/>
              </w:rPr>
              <w:t>Contre</w:t>
            </w:r>
          </w:p>
        </w:tc>
        <w:tc>
          <w:tcPr>
            <w:tcW w:w="1492" w:type="dxa"/>
          </w:tcPr>
          <w:p w14:paraId="27A7306B" w14:textId="77777777" w:rsidR="00742364" w:rsidRPr="00CF2154" w:rsidRDefault="00742364" w:rsidP="00271F20">
            <w:pPr>
              <w:jc w:val="right"/>
              <w:rPr>
                <w:rFonts w:asciiTheme="majorHAnsi" w:hAnsiTheme="majorHAnsi"/>
              </w:rPr>
            </w:pPr>
            <w:r w:rsidRPr="00CF2154">
              <w:rPr>
                <w:rFonts w:asciiTheme="majorHAnsi" w:hAnsiTheme="majorHAnsi"/>
              </w:rPr>
              <w:t>0</w:t>
            </w:r>
          </w:p>
        </w:tc>
      </w:tr>
      <w:tr w:rsidR="00742364" w:rsidRPr="003F25EB" w14:paraId="5F79725F" w14:textId="77777777" w:rsidTr="00271F20">
        <w:trPr>
          <w:trHeight w:val="244"/>
        </w:trPr>
        <w:tc>
          <w:tcPr>
            <w:tcW w:w="2303" w:type="dxa"/>
            <w:vMerge/>
          </w:tcPr>
          <w:p w14:paraId="19D0BC60" w14:textId="77777777" w:rsidR="00742364" w:rsidRPr="003F25EB" w:rsidRDefault="00742364" w:rsidP="00271F20">
            <w:pPr>
              <w:jc w:val="both"/>
              <w:rPr>
                <w:rFonts w:asciiTheme="majorHAnsi" w:hAnsiTheme="majorHAnsi"/>
              </w:rPr>
            </w:pPr>
          </w:p>
        </w:tc>
        <w:tc>
          <w:tcPr>
            <w:tcW w:w="1188" w:type="dxa"/>
            <w:vMerge/>
          </w:tcPr>
          <w:p w14:paraId="77D77B4C" w14:textId="77777777" w:rsidR="00742364" w:rsidRPr="003F25EB" w:rsidRDefault="00742364" w:rsidP="00271F20">
            <w:pPr>
              <w:jc w:val="both"/>
              <w:rPr>
                <w:rFonts w:asciiTheme="majorHAnsi" w:hAnsiTheme="majorHAnsi"/>
              </w:rPr>
            </w:pPr>
          </w:p>
        </w:tc>
        <w:tc>
          <w:tcPr>
            <w:tcW w:w="1152" w:type="dxa"/>
            <w:vMerge/>
          </w:tcPr>
          <w:p w14:paraId="20A21D4E" w14:textId="77777777" w:rsidR="00742364" w:rsidRPr="003F25EB" w:rsidRDefault="00742364" w:rsidP="00271F20">
            <w:pPr>
              <w:jc w:val="both"/>
              <w:rPr>
                <w:rFonts w:asciiTheme="majorHAnsi" w:hAnsiTheme="majorHAnsi"/>
              </w:rPr>
            </w:pPr>
          </w:p>
        </w:tc>
        <w:tc>
          <w:tcPr>
            <w:tcW w:w="1622" w:type="dxa"/>
            <w:vMerge/>
          </w:tcPr>
          <w:p w14:paraId="064AF535" w14:textId="77777777" w:rsidR="00742364" w:rsidRPr="003F25EB" w:rsidRDefault="00742364" w:rsidP="00271F20">
            <w:pPr>
              <w:jc w:val="both"/>
              <w:rPr>
                <w:rFonts w:asciiTheme="majorHAnsi" w:hAnsiTheme="majorHAnsi"/>
              </w:rPr>
            </w:pPr>
          </w:p>
        </w:tc>
        <w:tc>
          <w:tcPr>
            <w:tcW w:w="1492" w:type="dxa"/>
          </w:tcPr>
          <w:p w14:paraId="04ADAAC1" w14:textId="77777777" w:rsidR="00742364" w:rsidRPr="003F25EB" w:rsidRDefault="00742364" w:rsidP="00271F20">
            <w:pPr>
              <w:rPr>
                <w:rFonts w:asciiTheme="majorHAnsi" w:hAnsiTheme="majorHAnsi"/>
              </w:rPr>
            </w:pPr>
            <w:r w:rsidRPr="003F25EB">
              <w:rPr>
                <w:rFonts w:asciiTheme="majorHAnsi" w:hAnsiTheme="majorHAnsi"/>
              </w:rPr>
              <w:t>Pour</w:t>
            </w:r>
          </w:p>
        </w:tc>
        <w:tc>
          <w:tcPr>
            <w:tcW w:w="1492" w:type="dxa"/>
          </w:tcPr>
          <w:p w14:paraId="157C5FF2" w14:textId="77777777" w:rsidR="00742364" w:rsidRPr="003F25EB" w:rsidRDefault="00742364" w:rsidP="00271F20">
            <w:pPr>
              <w:jc w:val="right"/>
              <w:rPr>
                <w:rFonts w:asciiTheme="majorHAnsi" w:hAnsiTheme="majorHAnsi"/>
              </w:rPr>
            </w:pPr>
          </w:p>
        </w:tc>
      </w:tr>
      <w:tr w:rsidR="00742364" w:rsidRPr="003F25EB" w14:paraId="021ECCD7" w14:textId="77777777" w:rsidTr="00271F20">
        <w:trPr>
          <w:trHeight w:val="245"/>
        </w:trPr>
        <w:tc>
          <w:tcPr>
            <w:tcW w:w="2303" w:type="dxa"/>
            <w:vMerge/>
          </w:tcPr>
          <w:p w14:paraId="51258DD6" w14:textId="77777777" w:rsidR="00742364" w:rsidRPr="003F25EB" w:rsidRDefault="00742364" w:rsidP="00271F20">
            <w:pPr>
              <w:jc w:val="both"/>
              <w:rPr>
                <w:rFonts w:asciiTheme="majorHAnsi" w:hAnsiTheme="majorHAnsi"/>
              </w:rPr>
            </w:pPr>
          </w:p>
        </w:tc>
        <w:tc>
          <w:tcPr>
            <w:tcW w:w="1188" w:type="dxa"/>
            <w:vMerge/>
          </w:tcPr>
          <w:p w14:paraId="28BF3717" w14:textId="77777777" w:rsidR="00742364" w:rsidRPr="003F25EB" w:rsidRDefault="00742364" w:rsidP="00271F20">
            <w:pPr>
              <w:jc w:val="both"/>
              <w:rPr>
                <w:rFonts w:asciiTheme="majorHAnsi" w:hAnsiTheme="majorHAnsi"/>
              </w:rPr>
            </w:pPr>
          </w:p>
        </w:tc>
        <w:tc>
          <w:tcPr>
            <w:tcW w:w="1152" w:type="dxa"/>
            <w:vMerge/>
          </w:tcPr>
          <w:p w14:paraId="4AB139DB" w14:textId="77777777" w:rsidR="00742364" w:rsidRPr="003F25EB" w:rsidRDefault="00742364" w:rsidP="00271F20">
            <w:pPr>
              <w:jc w:val="both"/>
              <w:rPr>
                <w:rFonts w:asciiTheme="majorHAnsi" w:hAnsiTheme="majorHAnsi"/>
              </w:rPr>
            </w:pPr>
          </w:p>
        </w:tc>
        <w:tc>
          <w:tcPr>
            <w:tcW w:w="1622" w:type="dxa"/>
            <w:vMerge/>
          </w:tcPr>
          <w:p w14:paraId="0C0571DC" w14:textId="77777777" w:rsidR="00742364" w:rsidRPr="003F25EB" w:rsidRDefault="00742364" w:rsidP="00271F20">
            <w:pPr>
              <w:jc w:val="both"/>
              <w:rPr>
                <w:rFonts w:asciiTheme="majorHAnsi" w:hAnsiTheme="majorHAnsi"/>
              </w:rPr>
            </w:pPr>
          </w:p>
        </w:tc>
        <w:tc>
          <w:tcPr>
            <w:tcW w:w="1492" w:type="dxa"/>
          </w:tcPr>
          <w:p w14:paraId="47EDBC98" w14:textId="77777777" w:rsidR="00742364" w:rsidRPr="003F25EB" w:rsidRDefault="00742364" w:rsidP="00271F20">
            <w:pPr>
              <w:rPr>
                <w:rFonts w:asciiTheme="majorHAnsi" w:hAnsiTheme="majorHAnsi"/>
              </w:rPr>
            </w:pPr>
            <w:r w:rsidRPr="003F25EB">
              <w:rPr>
                <w:rFonts w:asciiTheme="majorHAnsi" w:hAnsiTheme="majorHAnsi"/>
              </w:rPr>
              <w:t>Ne se prononce pas</w:t>
            </w:r>
          </w:p>
        </w:tc>
        <w:tc>
          <w:tcPr>
            <w:tcW w:w="1492" w:type="dxa"/>
          </w:tcPr>
          <w:p w14:paraId="0668EB7D" w14:textId="77777777" w:rsidR="00742364" w:rsidRPr="003F25EB" w:rsidRDefault="00742364" w:rsidP="00271F20">
            <w:pPr>
              <w:jc w:val="right"/>
              <w:rPr>
                <w:rFonts w:asciiTheme="majorHAnsi" w:hAnsiTheme="majorHAnsi"/>
              </w:rPr>
            </w:pPr>
            <w:r>
              <w:rPr>
                <w:rFonts w:asciiTheme="majorHAnsi" w:hAnsiTheme="majorHAnsi"/>
              </w:rPr>
              <w:t>0</w:t>
            </w:r>
          </w:p>
        </w:tc>
      </w:tr>
    </w:tbl>
    <w:p w14:paraId="565A8A79" w14:textId="77777777" w:rsidR="00742364" w:rsidRDefault="00742364" w:rsidP="007542A9">
      <w:pPr>
        <w:jc w:val="both"/>
        <w:rPr>
          <w:rFonts w:asciiTheme="majorHAnsi" w:hAnsiTheme="majorHAnsi"/>
          <w:b/>
        </w:rPr>
      </w:pPr>
    </w:p>
    <w:p w14:paraId="16005602" w14:textId="77777777" w:rsidR="00FE2E96" w:rsidRDefault="00FE2E96" w:rsidP="007542A9">
      <w:pPr>
        <w:jc w:val="both"/>
        <w:rPr>
          <w:rFonts w:asciiTheme="majorHAnsi" w:hAnsiTheme="majorHAnsi"/>
          <w:b/>
        </w:rPr>
      </w:pPr>
    </w:p>
    <w:p w14:paraId="46554AA1" w14:textId="6BF004E8" w:rsidR="00742364" w:rsidRDefault="00C13570" w:rsidP="00742364">
      <w:pPr>
        <w:pBdr>
          <w:top w:val="single" w:sz="4" w:space="1" w:color="auto"/>
          <w:left w:val="single" w:sz="4" w:space="4" w:color="auto"/>
          <w:bottom w:val="single" w:sz="4" w:space="1" w:color="auto"/>
          <w:right w:val="single" w:sz="4" w:space="4" w:color="auto"/>
        </w:pBdr>
        <w:jc w:val="both"/>
        <w:rPr>
          <w:rFonts w:asciiTheme="majorHAnsi" w:hAnsiTheme="majorHAnsi"/>
        </w:rPr>
      </w:pPr>
      <w:r>
        <w:rPr>
          <w:rFonts w:asciiTheme="majorHAnsi" w:hAnsiTheme="majorHAnsi"/>
          <w:b/>
        </w:rPr>
        <w:t>Délibération CD2016-11</w:t>
      </w:r>
      <w:r w:rsidR="00742364">
        <w:rPr>
          <w:rFonts w:asciiTheme="majorHAnsi" w:hAnsiTheme="majorHAnsi"/>
          <w:b/>
        </w:rPr>
        <w:t> : Délocalisation de la BU ESIAB</w:t>
      </w:r>
    </w:p>
    <w:p w14:paraId="7636707F" w14:textId="77777777" w:rsidR="00742364" w:rsidRDefault="00742364" w:rsidP="007542A9">
      <w:pPr>
        <w:jc w:val="both"/>
        <w:rPr>
          <w:rFonts w:asciiTheme="majorHAnsi" w:hAnsiTheme="majorHAnsi"/>
          <w:b/>
        </w:rPr>
      </w:pPr>
    </w:p>
    <w:p w14:paraId="013900F9" w14:textId="77777777" w:rsidR="00EE7791" w:rsidRDefault="00A01AB8" w:rsidP="007542A9">
      <w:pPr>
        <w:jc w:val="both"/>
        <w:rPr>
          <w:rFonts w:asciiTheme="majorHAnsi" w:hAnsiTheme="majorHAnsi"/>
        </w:rPr>
      </w:pPr>
      <w:r>
        <w:rPr>
          <w:rFonts w:asciiTheme="majorHAnsi" w:hAnsiTheme="majorHAnsi"/>
        </w:rPr>
        <w:t xml:space="preserve">Le projet de délocalisation des fonds de la BU ESIAB est à l’étude depuis 2012. En 2015, une réflexion conduite par le SCD a abouti à deux hypothèses : la première consistait à transférer les collections vers la Bibliothèque La Pérouse ; la seconde se traduisait par un déménagement des fonds vers la Bibliothèque du </w:t>
      </w:r>
      <w:proofErr w:type="spellStart"/>
      <w:r>
        <w:rPr>
          <w:rFonts w:asciiTheme="majorHAnsi" w:hAnsiTheme="majorHAnsi"/>
        </w:rPr>
        <w:t>Bouguen</w:t>
      </w:r>
      <w:proofErr w:type="spellEnd"/>
      <w:r>
        <w:rPr>
          <w:rFonts w:asciiTheme="majorHAnsi" w:hAnsiTheme="majorHAnsi"/>
        </w:rPr>
        <w:t xml:space="preserve"> et vers la bibliothèque de l’IUT de Quimper.</w:t>
      </w:r>
      <w:r w:rsidR="00EE7791">
        <w:rPr>
          <w:rFonts w:asciiTheme="majorHAnsi" w:hAnsiTheme="majorHAnsi"/>
        </w:rPr>
        <w:t xml:space="preserve"> </w:t>
      </w:r>
    </w:p>
    <w:p w14:paraId="752F86BE" w14:textId="77777777" w:rsidR="00EE7791" w:rsidRDefault="00EE7791" w:rsidP="007542A9">
      <w:pPr>
        <w:jc w:val="both"/>
        <w:rPr>
          <w:rFonts w:asciiTheme="majorHAnsi" w:hAnsiTheme="majorHAnsi"/>
        </w:rPr>
      </w:pPr>
    </w:p>
    <w:p w14:paraId="71F9327D" w14:textId="04F561C7" w:rsidR="00A01AB8" w:rsidRDefault="00EE7791" w:rsidP="007542A9">
      <w:pPr>
        <w:jc w:val="both"/>
        <w:rPr>
          <w:rFonts w:asciiTheme="majorHAnsi" w:hAnsiTheme="majorHAnsi"/>
        </w:rPr>
      </w:pPr>
      <w:r>
        <w:rPr>
          <w:rFonts w:asciiTheme="majorHAnsi" w:hAnsiTheme="majorHAnsi"/>
        </w:rPr>
        <w:t>Pour des raisons techniques liées en grande partie à l’hétérogénéité des catalogues, l’implantation des collections de la BU ESIAB à la BLP, qui avait la faveur de la Direction de l’ESIAB, n’a pu se faire. Par ailleurs, la communauté de l’ESIAB, désireuse de maintenir un service de proximité, n’était pas favorable au transfert des collections en dehors du Technopôle.</w:t>
      </w:r>
    </w:p>
    <w:p w14:paraId="56696F1D" w14:textId="77777777" w:rsidR="00EE7791" w:rsidRDefault="00EE7791" w:rsidP="007542A9">
      <w:pPr>
        <w:jc w:val="both"/>
        <w:rPr>
          <w:rFonts w:asciiTheme="majorHAnsi" w:hAnsiTheme="majorHAnsi"/>
        </w:rPr>
      </w:pPr>
    </w:p>
    <w:p w14:paraId="25D89915" w14:textId="5CEECBD3" w:rsidR="00EE7791" w:rsidRDefault="00EE7791" w:rsidP="007542A9">
      <w:pPr>
        <w:jc w:val="both"/>
        <w:rPr>
          <w:rFonts w:asciiTheme="majorHAnsi" w:hAnsiTheme="majorHAnsi"/>
        </w:rPr>
      </w:pPr>
      <w:r>
        <w:rPr>
          <w:rFonts w:asciiTheme="majorHAnsi" w:hAnsiTheme="majorHAnsi"/>
        </w:rPr>
        <w:t>Face à ce constat, le Conseil documentaire de l’UBO a, par délibération en date du 9 décembre 2015, décidé de maintenir la BU ESIAB dans ses locaux actuels jusqu’en septembre 2017.</w:t>
      </w:r>
    </w:p>
    <w:p w14:paraId="222412B7" w14:textId="77777777" w:rsidR="00EE7791" w:rsidRDefault="00EE7791" w:rsidP="007542A9">
      <w:pPr>
        <w:jc w:val="both"/>
        <w:rPr>
          <w:rFonts w:asciiTheme="majorHAnsi" w:hAnsiTheme="majorHAnsi"/>
        </w:rPr>
      </w:pPr>
    </w:p>
    <w:p w14:paraId="500E3338" w14:textId="355054DC" w:rsidR="00EE7791" w:rsidRDefault="00EE7791" w:rsidP="007542A9">
      <w:pPr>
        <w:jc w:val="both"/>
        <w:rPr>
          <w:rFonts w:asciiTheme="majorHAnsi" w:hAnsiTheme="majorHAnsi"/>
        </w:rPr>
      </w:pPr>
      <w:r>
        <w:rPr>
          <w:rFonts w:asciiTheme="majorHAnsi" w:hAnsiTheme="majorHAnsi"/>
        </w:rPr>
        <w:t xml:space="preserve">Il convient désormais de réactiver les scénarios élaborés en 2015, dans un contexte nouveau, lié à la possibilité de gérer des collections signalées dans le catalogue de l’UBO depuis la BLP, ce qui n’était pas le cas à l’époque. Parallèlement, la réorganisation des équipes de la BU du </w:t>
      </w:r>
      <w:proofErr w:type="spellStart"/>
      <w:r>
        <w:rPr>
          <w:rFonts w:asciiTheme="majorHAnsi" w:hAnsiTheme="majorHAnsi"/>
        </w:rPr>
        <w:t>Bouguen</w:t>
      </w:r>
      <w:proofErr w:type="spellEnd"/>
      <w:r>
        <w:rPr>
          <w:rFonts w:asciiTheme="majorHAnsi" w:hAnsiTheme="majorHAnsi"/>
        </w:rPr>
        <w:t xml:space="preserve"> et une nouvelle répartition des tâches des agents est susceptible de faciliter cette intégration dans les locaux de la BU du </w:t>
      </w:r>
      <w:proofErr w:type="spellStart"/>
      <w:r>
        <w:rPr>
          <w:rFonts w:asciiTheme="majorHAnsi" w:hAnsiTheme="majorHAnsi"/>
        </w:rPr>
        <w:t>Bouguen</w:t>
      </w:r>
      <w:proofErr w:type="spellEnd"/>
      <w:r>
        <w:rPr>
          <w:rFonts w:asciiTheme="majorHAnsi" w:hAnsiTheme="majorHAnsi"/>
        </w:rPr>
        <w:t>.</w:t>
      </w:r>
    </w:p>
    <w:p w14:paraId="548E5EAA" w14:textId="77777777" w:rsidR="00EE7791" w:rsidRDefault="00EE7791" w:rsidP="007542A9">
      <w:pPr>
        <w:jc w:val="both"/>
        <w:rPr>
          <w:rFonts w:asciiTheme="majorHAnsi" w:hAnsiTheme="majorHAnsi"/>
        </w:rPr>
      </w:pPr>
    </w:p>
    <w:p w14:paraId="74D28C7A" w14:textId="2F37A659" w:rsidR="00EE7791" w:rsidRDefault="00EE7791" w:rsidP="007542A9">
      <w:pPr>
        <w:jc w:val="both"/>
        <w:rPr>
          <w:rFonts w:asciiTheme="majorHAnsi" w:hAnsiTheme="majorHAnsi"/>
        </w:rPr>
      </w:pPr>
      <w:r>
        <w:rPr>
          <w:rFonts w:asciiTheme="majorHAnsi" w:hAnsiTheme="majorHAnsi"/>
        </w:rPr>
        <w:t>Il est demandé au Conseil documentaire d’autoriser le SCD à approfondir les deux scénarios envisagés, dans la perspective d’une fermeture de la BU ESIAB en septembre 2017.</w:t>
      </w:r>
    </w:p>
    <w:p w14:paraId="5B66E573" w14:textId="77777777" w:rsidR="00A01AB8" w:rsidRDefault="00A01AB8" w:rsidP="007542A9">
      <w:pPr>
        <w:jc w:val="both"/>
        <w:rPr>
          <w:rFonts w:asciiTheme="majorHAnsi" w:hAnsiTheme="majorHAnsi"/>
        </w:rPr>
      </w:pPr>
    </w:p>
    <w:p w14:paraId="72A510F2" w14:textId="77777777" w:rsidR="00742364" w:rsidRDefault="00742364" w:rsidP="007542A9">
      <w:pPr>
        <w:jc w:val="both"/>
        <w:rPr>
          <w:rFonts w:asciiTheme="majorHAnsi" w:hAnsiTheme="majorHAnsi"/>
          <w:b/>
        </w:rPr>
      </w:pPr>
    </w:p>
    <w:tbl>
      <w:tblPr>
        <w:tblStyle w:val="Grille"/>
        <w:tblW w:w="0" w:type="auto"/>
        <w:tblLook w:val="01E0" w:firstRow="1" w:lastRow="1" w:firstColumn="1" w:lastColumn="1" w:noHBand="0" w:noVBand="0"/>
      </w:tblPr>
      <w:tblGrid>
        <w:gridCol w:w="2303"/>
        <w:gridCol w:w="1188"/>
        <w:gridCol w:w="1152"/>
        <w:gridCol w:w="1622"/>
        <w:gridCol w:w="1492"/>
        <w:gridCol w:w="1492"/>
      </w:tblGrid>
      <w:tr w:rsidR="00742364" w:rsidRPr="003F25EB" w14:paraId="7348C525" w14:textId="77777777" w:rsidTr="00271F20">
        <w:trPr>
          <w:trHeight w:val="244"/>
        </w:trPr>
        <w:tc>
          <w:tcPr>
            <w:tcW w:w="2303" w:type="dxa"/>
            <w:vMerge w:val="restart"/>
            <w:vAlign w:val="center"/>
          </w:tcPr>
          <w:p w14:paraId="198D4D33" w14:textId="77777777" w:rsidR="00742364" w:rsidRPr="003F25EB" w:rsidRDefault="00742364" w:rsidP="00271F20">
            <w:pPr>
              <w:jc w:val="both"/>
              <w:rPr>
                <w:rFonts w:asciiTheme="majorHAnsi" w:hAnsiTheme="majorHAnsi"/>
              </w:rPr>
            </w:pPr>
            <w:r w:rsidRPr="003F25EB">
              <w:rPr>
                <w:rFonts w:asciiTheme="majorHAnsi" w:hAnsiTheme="majorHAnsi"/>
              </w:rPr>
              <w:t>Membres</w:t>
            </w:r>
          </w:p>
        </w:tc>
        <w:tc>
          <w:tcPr>
            <w:tcW w:w="1188" w:type="dxa"/>
          </w:tcPr>
          <w:p w14:paraId="5CD76B27" w14:textId="77777777" w:rsidR="00742364" w:rsidRPr="003F25EB" w:rsidRDefault="00742364" w:rsidP="00271F20">
            <w:pPr>
              <w:jc w:val="both"/>
              <w:rPr>
                <w:rFonts w:asciiTheme="majorHAnsi" w:hAnsiTheme="majorHAnsi"/>
              </w:rPr>
            </w:pPr>
            <w:r w:rsidRPr="003F25EB">
              <w:rPr>
                <w:rFonts w:asciiTheme="majorHAnsi" w:hAnsiTheme="majorHAnsi"/>
              </w:rPr>
              <w:t>En exercice</w:t>
            </w:r>
          </w:p>
        </w:tc>
        <w:tc>
          <w:tcPr>
            <w:tcW w:w="1152" w:type="dxa"/>
          </w:tcPr>
          <w:p w14:paraId="4F3697E6" w14:textId="77777777" w:rsidR="00742364" w:rsidRPr="003F25EB" w:rsidRDefault="00742364" w:rsidP="00271F20">
            <w:pPr>
              <w:jc w:val="right"/>
              <w:rPr>
                <w:rFonts w:asciiTheme="majorHAnsi" w:hAnsiTheme="majorHAnsi"/>
              </w:rPr>
            </w:pPr>
            <w:r>
              <w:rPr>
                <w:rFonts w:asciiTheme="majorHAnsi" w:hAnsiTheme="majorHAnsi"/>
              </w:rPr>
              <w:t>20</w:t>
            </w:r>
          </w:p>
        </w:tc>
        <w:tc>
          <w:tcPr>
            <w:tcW w:w="1622" w:type="dxa"/>
            <w:vMerge w:val="restart"/>
            <w:vAlign w:val="center"/>
          </w:tcPr>
          <w:p w14:paraId="7C6E3F7F" w14:textId="77777777" w:rsidR="00742364" w:rsidRPr="003F25EB" w:rsidRDefault="00742364" w:rsidP="00271F20">
            <w:pPr>
              <w:jc w:val="both"/>
              <w:rPr>
                <w:rFonts w:asciiTheme="majorHAnsi" w:hAnsiTheme="majorHAnsi"/>
              </w:rPr>
            </w:pPr>
            <w:r w:rsidRPr="003F25EB">
              <w:rPr>
                <w:rFonts w:asciiTheme="majorHAnsi" w:hAnsiTheme="majorHAnsi"/>
              </w:rPr>
              <w:t>Vote</w:t>
            </w:r>
          </w:p>
        </w:tc>
        <w:tc>
          <w:tcPr>
            <w:tcW w:w="1492" w:type="dxa"/>
          </w:tcPr>
          <w:p w14:paraId="2C86EF63" w14:textId="77777777" w:rsidR="00742364" w:rsidRPr="003F25EB" w:rsidRDefault="00742364" w:rsidP="00271F20">
            <w:pPr>
              <w:rPr>
                <w:rFonts w:asciiTheme="majorHAnsi" w:hAnsiTheme="majorHAnsi"/>
              </w:rPr>
            </w:pPr>
            <w:r w:rsidRPr="003F25EB">
              <w:rPr>
                <w:rFonts w:asciiTheme="majorHAnsi" w:hAnsiTheme="majorHAnsi"/>
              </w:rPr>
              <w:t>Refus de vote</w:t>
            </w:r>
          </w:p>
        </w:tc>
        <w:tc>
          <w:tcPr>
            <w:tcW w:w="1492" w:type="dxa"/>
          </w:tcPr>
          <w:p w14:paraId="4F9A735E" w14:textId="77777777" w:rsidR="00742364" w:rsidRPr="003F25EB" w:rsidRDefault="00742364" w:rsidP="00271F20">
            <w:pPr>
              <w:jc w:val="right"/>
              <w:rPr>
                <w:rFonts w:asciiTheme="majorHAnsi" w:hAnsiTheme="majorHAnsi"/>
              </w:rPr>
            </w:pPr>
            <w:r>
              <w:rPr>
                <w:rFonts w:asciiTheme="majorHAnsi" w:hAnsiTheme="majorHAnsi"/>
              </w:rPr>
              <w:t>0</w:t>
            </w:r>
          </w:p>
        </w:tc>
      </w:tr>
      <w:tr w:rsidR="00742364" w:rsidRPr="003F25EB" w14:paraId="75D83088" w14:textId="77777777" w:rsidTr="00271F20">
        <w:trPr>
          <w:trHeight w:val="244"/>
        </w:trPr>
        <w:tc>
          <w:tcPr>
            <w:tcW w:w="2303" w:type="dxa"/>
            <w:vMerge/>
          </w:tcPr>
          <w:p w14:paraId="49C02124" w14:textId="77777777" w:rsidR="00742364" w:rsidRPr="003F25EB" w:rsidRDefault="00742364" w:rsidP="00271F20">
            <w:pPr>
              <w:jc w:val="both"/>
              <w:rPr>
                <w:rFonts w:asciiTheme="majorHAnsi" w:hAnsiTheme="majorHAnsi"/>
              </w:rPr>
            </w:pPr>
          </w:p>
        </w:tc>
        <w:tc>
          <w:tcPr>
            <w:tcW w:w="1188" w:type="dxa"/>
          </w:tcPr>
          <w:p w14:paraId="6AC42FED" w14:textId="77777777" w:rsidR="00742364" w:rsidRPr="003F25EB" w:rsidRDefault="00742364" w:rsidP="00271F20">
            <w:pPr>
              <w:jc w:val="both"/>
              <w:rPr>
                <w:rFonts w:asciiTheme="majorHAnsi" w:hAnsiTheme="majorHAnsi"/>
              </w:rPr>
            </w:pPr>
            <w:r w:rsidRPr="003F25EB">
              <w:rPr>
                <w:rFonts w:asciiTheme="majorHAnsi" w:hAnsiTheme="majorHAnsi"/>
              </w:rPr>
              <w:t>Présents</w:t>
            </w:r>
          </w:p>
        </w:tc>
        <w:tc>
          <w:tcPr>
            <w:tcW w:w="1152" w:type="dxa"/>
          </w:tcPr>
          <w:p w14:paraId="036F8CBD" w14:textId="77777777" w:rsidR="00742364" w:rsidRPr="003F25EB" w:rsidRDefault="00742364" w:rsidP="00271F20">
            <w:pPr>
              <w:jc w:val="right"/>
              <w:rPr>
                <w:rFonts w:asciiTheme="majorHAnsi" w:hAnsiTheme="majorHAnsi"/>
              </w:rPr>
            </w:pPr>
          </w:p>
        </w:tc>
        <w:tc>
          <w:tcPr>
            <w:tcW w:w="1622" w:type="dxa"/>
            <w:vMerge/>
          </w:tcPr>
          <w:p w14:paraId="6976E8E1" w14:textId="77777777" w:rsidR="00742364" w:rsidRPr="003F25EB" w:rsidRDefault="00742364" w:rsidP="00271F20">
            <w:pPr>
              <w:jc w:val="both"/>
              <w:rPr>
                <w:rFonts w:asciiTheme="majorHAnsi" w:hAnsiTheme="majorHAnsi"/>
              </w:rPr>
            </w:pPr>
          </w:p>
        </w:tc>
        <w:tc>
          <w:tcPr>
            <w:tcW w:w="1492" w:type="dxa"/>
          </w:tcPr>
          <w:p w14:paraId="11D0DEC0" w14:textId="77777777" w:rsidR="00742364" w:rsidRPr="003F25EB" w:rsidRDefault="00742364" w:rsidP="00271F20">
            <w:pPr>
              <w:rPr>
                <w:rFonts w:asciiTheme="majorHAnsi" w:hAnsiTheme="majorHAnsi"/>
              </w:rPr>
            </w:pPr>
            <w:r w:rsidRPr="003F25EB">
              <w:rPr>
                <w:rFonts w:asciiTheme="majorHAnsi" w:hAnsiTheme="majorHAnsi"/>
              </w:rPr>
              <w:t>Abstention</w:t>
            </w:r>
          </w:p>
        </w:tc>
        <w:tc>
          <w:tcPr>
            <w:tcW w:w="1492" w:type="dxa"/>
          </w:tcPr>
          <w:p w14:paraId="14FE2B84" w14:textId="77777777" w:rsidR="00742364" w:rsidRPr="003F25EB" w:rsidRDefault="00742364" w:rsidP="00271F20">
            <w:pPr>
              <w:jc w:val="right"/>
              <w:rPr>
                <w:rFonts w:asciiTheme="majorHAnsi" w:hAnsiTheme="majorHAnsi"/>
              </w:rPr>
            </w:pPr>
            <w:r>
              <w:rPr>
                <w:rFonts w:asciiTheme="majorHAnsi" w:hAnsiTheme="majorHAnsi"/>
              </w:rPr>
              <w:t>0</w:t>
            </w:r>
          </w:p>
        </w:tc>
      </w:tr>
      <w:tr w:rsidR="00742364" w:rsidRPr="003F25EB" w14:paraId="45CCFFE7" w14:textId="77777777" w:rsidTr="00271F20">
        <w:trPr>
          <w:trHeight w:val="244"/>
        </w:trPr>
        <w:tc>
          <w:tcPr>
            <w:tcW w:w="2303" w:type="dxa"/>
            <w:vMerge/>
          </w:tcPr>
          <w:p w14:paraId="01CAB97C" w14:textId="77777777" w:rsidR="00742364" w:rsidRPr="003F25EB" w:rsidRDefault="00742364" w:rsidP="00271F20">
            <w:pPr>
              <w:jc w:val="both"/>
              <w:rPr>
                <w:rFonts w:asciiTheme="majorHAnsi" w:hAnsiTheme="majorHAnsi"/>
              </w:rPr>
            </w:pPr>
          </w:p>
        </w:tc>
        <w:tc>
          <w:tcPr>
            <w:tcW w:w="1188" w:type="dxa"/>
            <w:vMerge w:val="restart"/>
          </w:tcPr>
          <w:p w14:paraId="593A890F" w14:textId="77777777" w:rsidR="00742364" w:rsidRPr="003F25EB" w:rsidRDefault="00742364" w:rsidP="00271F20">
            <w:pPr>
              <w:jc w:val="both"/>
              <w:rPr>
                <w:rFonts w:asciiTheme="majorHAnsi" w:hAnsiTheme="majorHAnsi"/>
              </w:rPr>
            </w:pPr>
            <w:r w:rsidRPr="003F25EB">
              <w:rPr>
                <w:rFonts w:asciiTheme="majorHAnsi" w:hAnsiTheme="majorHAnsi"/>
              </w:rPr>
              <w:t>représentés</w:t>
            </w:r>
          </w:p>
        </w:tc>
        <w:tc>
          <w:tcPr>
            <w:tcW w:w="1152" w:type="dxa"/>
            <w:vMerge w:val="restart"/>
          </w:tcPr>
          <w:p w14:paraId="35A8FB70" w14:textId="77777777" w:rsidR="00742364" w:rsidRPr="003F25EB" w:rsidRDefault="00742364" w:rsidP="00271F20">
            <w:pPr>
              <w:jc w:val="right"/>
              <w:rPr>
                <w:rFonts w:asciiTheme="majorHAnsi" w:hAnsiTheme="majorHAnsi"/>
              </w:rPr>
            </w:pPr>
          </w:p>
        </w:tc>
        <w:tc>
          <w:tcPr>
            <w:tcW w:w="1622" w:type="dxa"/>
            <w:vMerge/>
          </w:tcPr>
          <w:p w14:paraId="2EC2D340" w14:textId="77777777" w:rsidR="00742364" w:rsidRPr="003F25EB" w:rsidRDefault="00742364" w:rsidP="00271F20">
            <w:pPr>
              <w:jc w:val="both"/>
              <w:rPr>
                <w:rFonts w:asciiTheme="majorHAnsi" w:hAnsiTheme="majorHAnsi"/>
              </w:rPr>
            </w:pPr>
          </w:p>
        </w:tc>
        <w:tc>
          <w:tcPr>
            <w:tcW w:w="1492" w:type="dxa"/>
          </w:tcPr>
          <w:p w14:paraId="032F16BF" w14:textId="77777777" w:rsidR="00742364" w:rsidRPr="003F25EB" w:rsidRDefault="00742364" w:rsidP="00271F20">
            <w:pPr>
              <w:rPr>
                <w:rFonts w:asciiTheme="majorHAnsi" w:hAnsiTheme="majorHAnsi"/>
              </w:rPr>
            </w:pPr>
            <w:r w:rsidRPr="003F25EB">
              <w:rPr>
                <w:rFonts w:asciiTheme="majorHAnsi" w:hAnsiTheme="majorHAnsi"/>
              </w:rPr>
              <w:t>Contre</w:t>
            </w:r>
          </w:p>
        </w:tc>
        <w:tc>
          <w:tcPr>
            <w:tcW w:w="1492" w:type="dxa"/>
          </w:tcPr>
          <w:p w14:paraId="40883E5B" w14:textId="77777777" w:rsidR="00742364" w:rsidRPr="003F25EB" w:rsidRDefault="00742364" w:rsidP="00271F20">
            <w:pPr>
              <w:jc w:val="right"/>
              <w:rPr>
                <w:rFonts w:asciiTheme="majorHAnsi" w:hAnsiTheme="majorHAnsi"/>
              </w:rPr>
            </w:pPr>
            <w:r>
              <w:rPr>
                <w:rFonts w:asciiTheme="majorHAnsi" w:hAnsiTheme="majorHAnsi"/>
              </w:rPr>
              <w:t>0</w:t>
            </w:r>
          </w:p>
        </w:tc>
      </w:tr>
      <w:tr w:rsidR="00742364" w:rsidRPr="003F25EB" w14:paraId="03621EF9" w14:textId="77777777" w:rsidTr="00271F20">
        <w:trPr>
          <w:trHeight w:val="244"/>
        </w:trPr>
        <w:tc>
          <w:tcPr>
            <w:tcW w:w="2303" w:type="dxa"/>
            <w:vMerge/>
          </w:tcPr>
          <w:p w14:paraId="64821F67" w14:textId="77777777" w:rsidR="00742364" w:rsidRPr="003F25EB" w:rsidRDefault="00742364" w:rsidP="00271F20">
            <w:pPr>
              <w:jc w:val="both"/>
              <w:rPr>
                <w:rFonts w:asciiTheme="majorHAnsi" w:hAnsiTheme="majorHAnsi"/>
              </w:rPr>
            </w:pPr>
          </w:p>
        </w:tc>
        <w:tc>
          <w:tcPr>
            <w:tcW w:w="1188" w:type="dxa"/>
            <w:vMerge/>
          </w:tcPr>
          <w:p w14:paraId="6EFB8E21" w14:textId="77777777" w:rsidR="00742364" w:rsidRPr="003F25EB" w:rsidRDefault="00742364" w:rsidP="00271F20">
            <w:pPr>
              <w:jc w:val="both"/>
              <w:rPr>
                <w:rFonts w:asciiTheme="majorHAnsi" w:hAnsiTheme="majorHAnsi"/>
              </w:rPr>
            </w:pPr>
          </w:p>
        </w:tc>
        <w:tc>
          <w:tcPr>
            <w:tcW w:w="1152" w:type="dxa"/>
            <w:vMerge/>
          </w:tcPr>
          <w:p w14:paraId="43886E6A" w14:textId="77777777" w:rsidR="00742364" w:rsidRPr="003F25EB" w:rsidRDefault="00742364" w:rsidP="00271F20">
            <w:pPr>
              <w:jc w:val="both"/>
              <w:rPr>
                <w:rFonts w:asciiTheme="majorHAnsi" w:hAnsiTheme="majorHAnsi"/>
              </w:rPr>
            </w:pPr>
          </w:p>
        </w:tc>
        <w:tc>
          <w:tcPr>
            <w:tcW w:w="1622" w:type="dxa"/>
            <w:vMerge/>
          </w:tcPr>
          <w:p w14:paraId="6400BE09" w14:textId="77777777" w:rsidR="00742364" w:rsidRPr="003F25EB" w:rsidRDefault="00742364" w:rsidP="00271F20">
            <w:pPr>
              <w:jc w:val="both"/>
              <w:rPr>
                <w:rFonts w:asciiTheme="majorHAnsi" w:hAnsiTheme="majorHAnsi"/>
              </w:rPr>
            </w:pPr>
          </w:p>
        </w:tc>
        <w:tc>
          <w:tcPr>
            <w:tcW w:w="1492" w:type="dxa"/>
          </w:tcPr>
          <w:p w14:paraId="0B873DD5" w14:textId="77777777" w:rsidR="00742364" w:rsidRPr="003F25EB" w:rsidRDefault="00742364" w:rsidP="00271F20">
            <w:pPr>
              <w:rPr>
                <w:rFonts w:asciiTheme="majorHAnsi" w:hAnsiTheme="majorHAnsi"/>
              </w:rPr>
            </w:pPr>
            <w:r w:rsidRPr="003F25EB">
              <w:rPr>
                <w:rFonts w:asciiTheme="majorHAnsi" w:hAnsiTheme="majorHAnsi"/>
              </w:rPr>
              <w:t>Pour</w:t>
            </w:r>
          </w:p>
        </w:tc>
        <w:tc>
          <w:tcPr>
            <w:tcW w:w="1492" w:type="dxa"/>
          </w:tcPr>
          <w:p w14:paraId="5E5BD0B2" w14:textId="77777777" w:rsidR="00742364" w:rsidRPr="003F25EB" w:rsidRDefault="00742364" w:rsidP="00271F20">
            <w:pPr>
              <w:jc w:val="right"/>
              <w:rPr>
                <w:rFonts w:asciiTheme="majorHAnsi" w:hAnsiTheme="majorHAnsi"/>
              </w:rPr>
            </w:pPr>
          </w:p>
        </w:tc>
      </w:tr>
      <w:tr w:rsidR="00742364" w:rsidRPr="003F25EB" w14:paraId="715C092B" w14:textId="77777777" w:rsidTr="00271F20">
        <w:trPr>
          <w:trHeight w:val="245"/>
        </w:trPr>
        <w:tc>
          <w:tcPr>
            <w:tcW w:w="2303" w:type="dxa"/>
            <w:vMerge/>
          </w:tcPr>
          <w:p w14:paraId="664AF5EB" w14:textId="77777777" w:rsidR="00742364" w:rsidRPr="003F25EB" w:rsidRDefault="00742364" w:rsidP="00271F20">
            <w:pPr>
              <w:jc w:val="both"/>
              <w:rPr>
                <w:rFonts w:asciiTheme="majorHAnsi" w:hAnsiTheme="majorHAnsi"/>
              </w:rPr>
            </w:pPr>
          </w:p>
        </w:tc>
        <w:tc>
          <w:tcPr>
            <w:tcW w:w="1188" w:type="dxa"/>
            <w:vMerge/>
          </w:tcPr>
          <w:p w14:paraId="64C932CD" w14:textId="77777777" w:rsidR="00742364" w:rsidRPr="003F25EB" w:rsidRDefault="00742364" w:rsidP="00271F20">
            <w:pPr>
              <w:jc w:val="both"/>
              <w:rPr>
                <w:rFonts w:asciiTheme="majorHAnsi" w:hAnsiTheme="majorHAnsi"/>
              </w:rPr>
            </w:pPr>
          </w:p>
        </w:tc>
        <w:tc>
          <w:tcPr>
            <w:tcW w:w="1152" w:type="dxa"/>
            <w:vMerge/>
          </w:tcPr>
          <w:p w14:paraId="15AEDB09" w14:textId="77777777" w:rsidR="00742364" w:rsidRPr="003F25EB" w:rsidRDefault="00742364" w:rsidP="00271F20">
            <w:pPr>
              <w:jc w:val="both"/>
              <w:rPr>
                <w:rFonts w:asciiTheme="majorHAnsi" w:hAnsiTheme="majorHAnsi"/>
              </w:rPr>
            </w:pPr>
          </w:p>
        </w:tc>
        <w:tc>
          <w:tcPr>
            <w:tcW w:w="1622" w:type="dxa"/>
            <w:vMerge/>
          </w:tcPr>
          <w:p w14:paraId="7015A5B5" w14:textId="77777777" w:rsidR="00742364" w:rsidRPr="003F25EB" w:rsidRDefault="00742364" w:rsidP="00271F20">
            <w:pPr>
              <w:jc w:val="both"/>
              <w:rPr>
                <w:rFonts w:asciiTheme="majorHAnsi" w:hAnsiTheme="majorHAnsi"/>
              </w:rPr>
            </w:pPr>
          </w:p>
        </w:tc>
        <w:tc>
          <w:tcPr>
            <w:tcW w:w="1492" w:type="dxa"/>
          </w:tcPr>
          <w:p w14:paraId="09830EDD" w14:textId="77777777" w:rsidR="00742364" w:rsidRPr="003F25EB" w:rsidRDefault="00742364" w:rsidP="00271F20">
            <w:pPr>
              <w:rPr>
                <w:rFonts w:asciiTheme="majorHAnsi" w:hAnsiTheme="majorHAnsi"/>
              </w:rPr>
            </w:pPr>
            <w:r w:rsidRPr="003F25EB">
              <w:rPr>
                <w:rFonts w:asciiTheme="majorHAnsi" w:hAnsiTheme="majorHAnsi"/>
              </w:rPr>
              <w:t>Ne se prononce pas</w:t>
            </w:r>
          </w:p>
        </w:tc>
        <w:tc>
          <w:tcPr>
            <w:tcW w:w="1492" w:type="dxa"/>
          </w:tcPr>
          <w:p w14:paraId="03DDDC60" w14:textId="77777777" w:rsidR="00742364" w:rsidRPr="003F25EB" w:rsidRDefault="00742364" w:rsidP="00271F20">
            <w:pPr>
              <w:jc w:val="right"/>
              <w:rPr>
                <w:rFonts w:asciiTheme="majorHAnsi" w:hAnsiTheme="majorHAnsi"/>
              </w:rPr>
            </w:pPr>
            <w:r>
              <w:rPr>
                <w:rFonts w:asciiTheme="majorHAnsi" w:hAnsiTheme="majorHAnsi"/>
              </w:rPr>
              <w:t>0</w:t>
            </w:r>
          </w:p>
        </w:tc>
      </w:tr>
    </w:tbl>
    <w:p w14:paraId="418800A3" w14:textId="77777777" w:rsidR="00742364" w:rsidRDefault="00742364" w:rsidP="007542A9">
      <w:pPr>
        <w:jc w:val="both"/>
        <w:rPr>
          <w:rFonts w:asciiTheme="majorHAnsi" w:hAnsiTheme="majorHAnsi"/>
          <w:b/>
        </w:rPr>
      </w:pPr>
    </w:p>
    <w:p w14:paraId="00CB032F" w14:textId="77777777" w:rsidR="00742364" w:rsidRDefault="00742364" w:rsidP="007542A9">
      <w:pPr>
        <w:jc w:val="both"/>
        <w:rPr>
          <w:rFonts w:asciiTheme="majorHAnsi" w:hAnsiTheme="majorHAnsi"/>
          <w:b/>
        </w:rPr>
      </w:pPr>
    </w:p>
    <w:p w14:paraId="3EC3DFEC" w14:textId="5B5CB91D" w:rsidR="00742364" w:rsidRDefault="00C13570" w:rsidP="00742364">
      <w:pPr>
        <w:pBdr>
          <w:top w:val="single" w:sz="4" w:space="1" w:color="auto"/>
          <w:left w:val="single" w:sz="4" w:space="4" w:color="auto"/>
          <w:bottom w:val="single" w:sz="4" w:space="1" w:color="auto"/>
          <w:right w:val="single" w:sz="4" w:space="4" w:color="auto"/>
        </w:pBdr>
        <w:jc w:val="both"/>
        <w:rPr>
          <w:rFonts w:asciiTheme="majorHAnsi" w:hAnsiTheme="majorHAnsi"/>
        </w:rPr>
      </w:pPr>
      <w:r>
        <w:rPr>
          <w:rFonts w:asciiTheme="majorHAnsi" w:hAnsiTheme="majorHAnsi"/>
          <w:b/>
        </w:rPr>
        <w:t>Délibération CD2016-12</w:t>
      </w:r>
      <w:r w:rsidR="00742364">
        <w:rPr>
          <w:rFonts w:asciiTheme="majorHAnsi" w:hAnsiTheme="majorHAnsi"/>
          <w:b/>
        </w:rPr>
        <w:t> : Intégration des collections de l’IREM dans le catalogue du SCD</w:t>
      </w:r>
    </w:p>
    <w:p w14:paraId="2186AADB" w14:textId="77777777" w:rsidR="00742364" w:rsidRDefault="00742364" w:rsidP="007542A9">
      <w:pPr>
        <w:jc w:val="both"/>
        <w:rPr>
          <w:rFonts w:asciiTheme="majorHAnsi" w:hAnsiTheme="majorHAnsi"/>
          <w:b/>
        </w:rPr>
      </w:pPr>
    </w:p>
    <w:p w14:paraId="422DB7DF" w14:textId="77777777" w:rsidR="00CC0373" w:rsidRPr="00CC0373" w:rsidRDefault="00CC0373" w:rsidP="00CC0373">
      <w:pPr>
        <w:widowControl w:val="0"/>
        <w:autoSpaceDE w:val="0"/>
        <w:autoSpaceDN w:val="0"/>
        <w:adjustRightInd w:val="0"/>
        <w:jc w:val="both"/>
        <w:rPr>
          <w:rFonts w:asciiTheme="majorHAnsi" w:hAnsiTheme="majorHAnsi" w:cs="Helvetica"/>
        </w:rPr>
      </w:pPr>
      <w:r w:rsidRPr="00CC0373">
        <w:rPr>
          <w:rFonts w:asciiTheme="majorHAnsi" w:hAnsiTheme="majorHAnsi" w:cs="Helvetica"/>
        </w:rPr>
        <w:t>Le directeur de la bibliothèque de l'Institut de Recherche et d'Enseignement des Mathématiques (IREM) a sollicité le SCD pour un signalement de ses collections dans le catalogue de l'UBO (</w:t>
      </w:r>
      <w:proofErr w:type="spellStart"/>
      <w:r w:rsidRPr="00CC0373">
        <w:rPr>
          <w:rFonts w:asciiTheme="majorHAnsi" w:hAnsiTheme="majorHAnsi" w:cs="Helvetica"/>
        </w:rPr>
        <w:t>Ubodoc</w:t>
      </w:r>
      <w:proofErr w:type="spellEnd"/>
      <w:r w:rsidRPr="00CC0373">
        <w:rPr>
          <w:rFonts w:asciiTheme="majorHAnsi" w:hAnsiTheme="majorHAnsi" w:cs="Helvetica"/>
        </w:rPr>
        <w:t xml:space="preserve">) et dans le catalogue </w:t>
      </w:r>
      <w:proofErr w:type="spellStart"/>
      <w:r w:rsidRPr="00CC0373">
        <w:rPr>
          <w:rFonts w:asciiTheme="majorHAnsi" w:hAnsiTheme="majorHAnsi" w:cs="Helvetica"/>
        </w:rPr>
        <w:t>Sudoc</w:t>
      </w:r>
      <w:proofErr w:type="spellEnd"/>
      <w:r w:rsidRPr="00CC0373">
        <w:rPr>
          <w:rFonts w:asciiTheme="majorHAnsi" w:hAnsiTheme="majorHAnsi" w:cs="Helvetica"/>
        </w:rPr>
        <w:t>, sur le modèle de ce qui a été fait pour la bibliothèque de Mathématiques en 2010. La bibliothèque de l'IREM, située au sein de l'UFR de Sciences &amp; Techniques, accueille des publics intéressés par ses collections tout comme par ses espaces de travail : chercheurs de l'IREM, enseignants du secondaire et du primaire en formation continue, étudiants préparant les concours de l'enseignement, stagiaires de l'ESPE.</w:t>
      </w:r>
    </w:p>
    <w:p w14:paraId="6EF3C984" w14:textId="54E8B108" w:rsidR="00CC0373" w:rsidRDefault="00CC0373" w:rsidP="00CC0373">
      <w:pPr>
        <w:widowControl w:val="0"/>
        <w:autoSpaceDE w:val="0"/>
        <w:autoSpaceDN w:val="0"/>
        <w:adjustRightInd w:val="0"/>
        <w:jc w:val="both"/>
        <w:rPr>
          <w:rFonts w:asciiTheme="majorHAnsi" w:hAnsiTheme="majorHAnsi" w:cs="Helvetica"/>
        </w:rPr>
      </w:pPr>
      <w:r w:rsidRPr="00CC0373">
        <w:rPr>
          <w:rFonts w:asciiTheme="majorHAnsi" w:hAnsiTheme="majorHAnsi" w:cs="Helvetica"/>
        </w:rPr>
        <w:lastRenderedPageBreak/>
        <w:t xml:space="preserve">Si la volumétrie exacte des fonds à intégrer n'est pas encore connue, une partie du fonds est déjà informatisée et son intégration au catalogue de l'UBO </w:t>
      </w:r>
      <w:r>
        <w:rPr>
          <w:rFonts w:asciiTheme="majorHAnsi" w:hAnsiTheme="majorHAnsi" w:cs="Helvetica"/>
        </w:rPr>
        <w:t>peut se faire sans</w:t>
      </w:r>
      <w:r w:rsidRPr="00CC0373">
        <w:rPr>
          <w:rFonts w:asciiTheme="majorHAnsi" w:hAnsiTheme="majorHAnsi" w:cs="Helvetica"/>
        </w:rPr>
        <w:t xml:space="preserve"> difficultés particulières.</w:t>
      </w:r>
    </w:p>
    <w:p w14:paraId="136C329F" w14:textId="77777777" w:rsidR="00CC0373" w:rsidRDefault="00CC0373" w:rsidP="00CC0373">
      <w:pPr>
        <w:widowControl w:val="0"/>
        <w:autoSpaceDE w:val="0"/>
        <w:autoSpaceDN w:val="0"/>
        <w:adjustRightInd w:val="0"/>
        <w:jc w:val="both"/>
        <w:rPr>
          <w:rFonts w:asciiTheme="majorHAnsi" w:hAnsiTheme="majorHAnsi" w:cs="Helvetica"/>
        </w:rPr>
      </w:pPr>
    </w:p>
    <w:p w14:paraId="38DEC086" w14:textId="5A9C0910" w:rsidR="00CC0373" w:rsidRDefault="00CC0373" w:rsidP="00CC0373">
      <w:pPr>
        <w:widowControl w:val="0"/>
        <w:autoSpaceDE w:val="0"/>
        <w:autoSpaceDN w:val="0"/>
        <w:adjustRightInd w:val="0"/>
        <w:jc w:val="both"/>
        <w:rPr>
          <w:rFonts w:asciiTheme="majorHAnsi" w:hAnsiTheme="majorHAnsi" w:cs="Helvetica"/>
        </w:rPr>
      </w:pPr>
      <w:r>
        <w:rPr>
          <w:rFonts w:asciiTheme="majorHAnsi" w:hAnsiTheme="majorHAnsi" w:cs="Helvetica"/>
        </w:rPr>
        <w:t>Le signalement des collections de la bibliothèque de l’IREM dans le catalogue de l’UBO permettra de renforcer les liens entre l’IREM et le SCD, de contribuer à la lisibilité de la carte documentaire de l’UBO et de mieux valoriser les collections spécialisées hébergées par l’IREM.</w:t>
      </w:r>
    </w:p>
    <w:p w14:paraId="0D1255A4" w14:textId="77777777" w:rsidR="00CC0373" w:rsidRPr="00CC0373" w:rsidRDefault="00CC0373" w:rsidP="00CC0373">
      <w:pPr>
        <w:widowControl w:val="0"/>
        <w:autoSpaceDE w:val="0"/>
        <w:autoSpaceDN w:val="0"/>
        <w:adjustRightInd w:val="0"/>
        <w:jc w:val="both"/>
        <w:rPr>
          <w:rFonts w:asciiTheme="majorHAnsi" w:hAnsiTheme="majorHAnsi" w:cs="Helvetica"/>
        </w:rPr>
      </w:pPr>
    </w:p>
    <w:p w14:paraId="24EC0F9A" w14:textId="245FDF9D" w:rsidR="00CC0373" w:rsidRDefault="00CC0373" w:rsidP="00CC0373">
      <w:pPr>
        <w:jc w:val="both"/>
        <w:rPr>
          <w:rFonts w:asciiTheme="majorHAnsi" w:hAnsiTheme="majorHAnsi" w:cs="Helvetica"/>
        </w:rPr>
      </w:pPr>
      <w:r>
        <w:rPr>
          <w:rFonts w:asciiTheme="majorHAnsi" w:hAnsiTheme="majorHAnsi" w:cs="Helvetica"/>
        </w:rPr>
        <w:t>Il est proposé</w:t>
      </w:r>
      <w:r w:rsidRPr="00CC0373">
        <w:rPr>
          <w:rFonts w:asciiTheme="majorHAnsi" w:hAnsiTheme="majorHAnsi" w:cs="Helvetica"/>
        </w:rPr>
        <w:t xml:space="preserve"> au Conseil documenta</w:t>
      </w:r>
      <w:r>
        <w:rPr>
          <w:rFonts w:asciiTheme="majorHAnsi" w:hAnsiTheme="majorHAnsi" w:cs="Helvetica"/>
        </w:rPr>
        <w:t>ire d'approuver le principe du</w:t>
      </w:r>
      <w:r w:rsidRPr="00CC0373">
        <w:rPr>
          <w:rFonts w:asciiTheme="majorHAnsi" w:hAnsiTheme="majorHAnsi" w:cs="Helvetica"/>
        </w:rPr>
        <w:t xml:space="preserve"> signalement des fonds de la bibliothèque de l'IREM dans le catalogue </w:t>
      </w:r>
      <w:proofErr w:type="spellStart"/>
      <w:r w:rsidRPr="00CC0373">
        <w:rPr>
          <w:rFonts w:asciiTheme="majorHAnsi" w:hAnsiTheme="majorHAnsi" w:cs="Helvetica"/>
        </w:rPr>
        <w:t>Ubodoc</w:t>
      </w:r>
      <w:proofErr w:type="spellEnd"/>
      <w:r w:rsidRPr="00CC0373">
        <w:rPr>
          <w:rFonts w:asciiTheme="majorHAnsi" w:hAnsiTheme="majorHAnsi" w:cs="Helvetica"/>
        </w:rPr>
        <w:t>.</w:t>
      </w:r>
    </w:p>
    <w:p w14:paraId="2F14955D" w14:textId="77777777" w:rsidR="00CC0373" w:rsidRDefault="00CC0373" w:rsidP="00CC0373">
      <w:pPr>
        <w:jc w:val="both"/>
        <w:rPr>
          <w:rFonts w:asciiTheme="majorHAnsi" w:hAnsiTheme="majorHAnsi"/>
          <w:b/>
        </w:rPr>
      </w:pPr>
      <w:bookmarkStart w:id="0" w:name="_GoBack"/>
      <w:bookmarkEnd w:id="0"/>
    </w:p>
    <w:p w14:paraId="72D89C99" w14:textId="77777777" w:rsidR="00742364" w:rsidRDefault="00742364" w:rsidP="007542A9">
      <w:pPr>
        <w:jc w:val="both"/>
        <w:rPr>
          <w:rFonts w:asciiTheme="majorHAnsi" w:hAnsiTheme="majorHAnsi"/>
          <w:b/>
        </w:rPr>
      </w:pPr>
    </w:p>
    <w:tbl>
      <w:tblPr>
        <w:tblStyle w:val="Grille"/>
        <w:tblW w:w="0" w:type="auto"/>
        <w:tblLook w:val="01E0" w:firstRow="1" w:lastRow="1" w:firstColumn="1" w:lastColumn="1" w:noHBand="0" w:noVBand="0"/>
      </w:tblPr>
      <w:tblGrid>
        <w:gridCol w:w="2303"/>
        <w:gridCol w:w="1188"/>
        <w:gridCol w:w="1152"/>
        <w:gridCol w:w="1622"/>
        <w:gridCol w:w="1492"/>
        <w:gridCol w:w="1492"/>
      </w:tblGrid>
      <w:tr w:rsidR="00742364" w:rsidRPr="003F25EB" w14:paraId="61EDC22A" w14:textId="77777777" w:rsidTr="00271F20">
        <w:trPr>
          <w:trHeight w:val="244"/>
        </w:trPr>
        <w:tc>
          <w:tcPr>
            <w:tcW w:w="2303" w:type="dxa"/>
            <w:vMerge w:val="restart"/>
            <w:vAlign w:val="center"/>
          </w:tcPr>
          <w:p w14:paraId="4320F9C1" w14:textId="77777777" w:rsidR="00742364" w:rsidRPr="003F25EB" w:rsidRDefault="00742364" w:rsidP="00271F20">
            <w:pPr>
              <w:jc w:val="both"/>
              <w:rPr>
                <w:rFonts w:asciiTheme="majorHAnsi" w:hAnsiTheme="majorHAnsi"/>
              </w:rPr>
            </w:pPr>
            <w:r w:rsidRPr="003F25EB">
              <w:rPr>
                <w:rFonts w:asciiTheme="majorHAnsi" w:hAnsiTheme="majorHAnsi"/>
              </w:rPr>
              <w:t>Membres</w:t>
            </w:r>
          </w:p>
        </w:tc>
        <w:tc>
          <w:tcPr>
            <w:tcW w:w="1188" w:type="dxa"/>
          </w:tcPr>
          <w:p w14:paraId="631A4896" w14:textId="77777777" w:rsidR="00742364" w:rsidRPr="003F25EB" w:rsidRDefault="00742364" w:rsidP="00271F20">
            <w:pPr>
              <w:jc w:val="both"/>
              <w:rPr>
                <w:rFonts w:asciiTheme="majorHAnsi" w:hAnsiTheme="majorHAnsi"/>
              </w:rPr>
            </w:pPr>
            <w:r w:rsidRPr="003F25EB">
              <w:rPr>
                <w:rFonts w:asciiTheme="majorHAnsi" w:hAnsiTheme="majorHAnsi"/>
              </w:rPr>
              <w:t>En exercice</w:t>
            </w:r>
          </w:p>
        </w:tc>
        <w:tc>
          <w:tcPr>
            <w:tcW w:w="1152" w:type="dxa"/>
          </w:tcPr>
          <w:p w14:paraId="025F9CC7" w14:textId="77777777" w:rsidR="00742364" w:rsidRPr="003F25EB" w:rsidRDefault="00742364" w:rsidP="00271F20">
            <w:pPr>
              <w:jc w:val="right"/>
              <w:rPr>
                <w:rFonts w:asciiTheme="majorHAnsi" w:hAnsiTheme="majorHAnsi"/>
              </w:rPr>
            </w:pPr>
            <w:r>
              <w:rPr>
                <w:rFonts w:asciiTheme="majorHAnsi" w:hAnsiTheme="majorHAnsi"/>
              </w:rPr>
              <w:t>20</w:t>
            </w:r>
          </w:p>
        </w:tc>
        <w:tc>
          <w:tcPr>
            <w:tcW w:w="1622" w:type="dxa"/>
            <w:vMerge w:val="restart"/>
            <w:vAlign w:val="center"/>
          </w:tcPr>
          <w:p w14:paraId="290E428E" w14:textId="77777777" w:rsidR="00742364" w:rsidRPr="003F25EB" w:rsidRDefault="00742364" w:rsidP="00271F20">
            <w:pPr>
              <w:jc w:val="both"/>
              <w:rPr>
                <w:rFonts w:asciiTheme="majorHAnsi" w:hAnsiTheme="majorHAnsi"/>
              </w:rPr>
            </w:pPr>
            <w:r w:rsidRPr="003F25EB">
              <w:rPr>
                <w:rFonts w:asciiTheme="majorHAnsi" w:hAnsiTheme="majorHAnsi"/>
              </w:rPr>
              <w:t>Vote</w:t>
            </w:r>
          </w:p>
        </w:tc>
        <w:tc>
          <w:tcPr>
            <w:tcW w:w="1492" w:type="dxa"/>
          </w:tcPr>
          <w:p w14:paraId="231C0746" w14:textId="77777777" w:rsidR="00742364" w:rsidRPr="003F25EB" w:rsidRDefault="00742364" w:rsidP="00271F20">
            <w:pPr>
              <w:rPr>
                <w:rFonts w:asciiTheme="majorHAnsi" w:hAnsiTheme="majorHAnsi"/>
              </w:rPr>
            </w:pPr>
            <w:r w:rsidRPr="003F25EB">
              <w:rPr>
                <w:rFonts w:asciiTheme="majorHAnsi" w:hAnsiTheme="majorHAnsi"/>
              </w:rPr>
              <w:t>Refus de vote</w:t>
            </w:r>
          </w:p>
        </w:tc>
        <w:tc>
          <w:tcPr>
            <w:tcW w:w="1492" w:type="dxa"/>
          </w:tcPr>
          <w:p w14:paraId="054FD011" w14:textId="77777777" w:rsidR="00742364" w:rsidRPr="003F25EB" w:rsidRDefault="00742364" w:rsidP="00271F20">
            <w:pPr>
              <w:jc w:val="right"/>
              <w:rPr>
                <w:rFonts w:asciiTheme="majorHAnsi" w:hAnsiTheme="majorHAnsi"/>
              </w:rPr>
            </w:pPr>
            <w:r>
              <w:rPr>
                <w:rFonts w:asciiTheme="majorHAnsi" w:hAnsiTheme="majorHAnsi"/>
              </w:rPr>
              <w:t>0</w:t>
            </w:r>
          </w:p>
        </w:tc>
      </w:tr>
      <w:tr w:rsidR="00742364" w:rsidRPr="003F25EB" w14:paraId="1AEE5085" w14:textId="77777777" w:rsidTr="00271F20">
        <w:trPr>
          <w:trHeight w:val="244"/>
        </w:trPr>
        <w:tc>
          <w:tcPr>
            <w:tcW w:w="2303" w:type="dxa"/>
            <w:vMerge/>
          </w:tcPr>
          <w:p w14:paraId="793EA29E" w14:textId="77777777" w:rsidR="00742364" w:rsidRPr="003F25EB" w:rsidRDefault="00742364" w:rsidP="00271F20">
            <w:pPr>
              <w:jc w:val="both"/>
              <w:rPr>
                <w:rFonts w:asciiTheme="majorHAnsi" w:hAnsiTheme="majorHAnsi"/>
              </w:rPr>
            </w:pPr>
          </w:p>
        </w:tc>
        <w:tc>
          <w:tcPr>
            <w:tcW w:w="1188" w:type="dxa"/>
          </w:tcPr>
          <w:p w14:paraId="72F16DAC" w14:textId="77777777" w:rsidR="00742364" w:rsidRPr="003F25EB" w:rsidRDefault="00742364" w:rsidP="00271F20">
            <w:pPr>
              <w:jc w:val="both"/>
              <w:rPr>
                <w:rFonts w:asciiTheme="majorHAnsi" w:hAnsiTheme="majorHAnsi"/>
              </w:rPr>
            </w:pPr>
            <w:r w:rsidRPr="003F25EB">
              <w:rPr>
                <w:rFonts w:asciiTheme="majorHAnsi" w:hAnsiTheme="majorHAnsi"/>
              </w:rPr>
              <w:t>Présents</w:t>
            </w:r>
          </w:p>
        </w:tc>
        <w:tc>
          <w:tcPr>
            <w:tcW w:w="1152" w:type="dxa"/>
          </w:tcPr>
          <w:p w14:paraId="33095D71" w14:textId="77777777" w:rsidR="00742364" w:rsidRPr="003F25EB" w:rsidRDefault="00742364" w:rsidP="00271F20">
            <w:pPr>
              <w:jc w:val="right"/>
              <w:rPr>
                <w:rFonts w:asciiTheme="majorHAnsi" w:hAnsiTheme="majorHAnsi"/>
              </w:rPr>
            </w:pPr>
          </w:p>
        </w:tc>
        <w:tc>
          <w:tcPr>
            <w:tcW w:w="1622" w:type="dxa"/>
            <w:vMerge/>
          </w:tcPr>
          <w:p w14:paraId="09527891" w14:textId="77777777" w:rsidR="00742364" w:rsidRPr="003F25EB" w:rsidRDefault="00742364" w:rsidP="00271F20">
            <w:pPr>
              <w:jc w:val="both"/>
              <w:rPr>
                <w:rFonts w:asciiTheme="majorHAnsi" w:hAnsiTheme="majorHAnsi"/>
              </w:rPr>
            </w:pPr>
          </w:p>
        </w:tc>
        <w:tc>
          <w:tcPr>
            <w:tcW w:w="1492" w:type="dxa"/>
          </w:tcPr>
          <w:p w14:paraId="3BE81536" w14:textId="77777777" w:rsidR="00742364" w:rsidRPr="003F25EB" w:rsidRDefault="00742364" w:rsidP="00271F20">
            <w:pPr>
              <w:rPr>
                <w:rFonts w:asciiTheme="majorHAnsi" w:hAnsiTheme="majorHAnsi"/>
              </w:rPr>
            </w:pPr>
            <w:r w:rsidRPr="003F25EB">
              <w:rPr>
                <w:rFonts w:asciiTheme="majorHAnsi" w:hAnsiTheme="majorHAnsi"/>
              </w:rPr>
              <w:t>Abstention</w:t>
            </w:r>
          </w:p>
        </w:tc>
        <w:tc>
          <w:tcPr>
            <w:tcW w:w="1492" w:type="dxa"/>
          </w:tcPr>
          <w:p w14:paraId="51829DD8" w14:textId="77777777" w:rsidR="00742364" w:rsidRPr="003F25EB" w:rsidRDefault="00742364" w:rsidP="00271F20">
            <w:pPr>
              <w:jc w:val="right"/>
              <w:rPr>
                <w:rFonts w:asciiTheme="majorHAnsi" w:hAnsiTheme="majorHAnsi"/>
              </w:rPr>
            </w:pPr>
            <w:r>
              <w:rPr>
                <w:rFonts w:asciiTheme="majorHAnsi" w:hAnsiTheme="majorHAnsi"/>
              </w:rPr>
              <w:t>0</w:t>
            </w:r>
          </w:p>
        </w:tc>
      </w:tr>
      <w:tr w:rsidR="00742364" w:rsidRPr="003F25EB" w14:paraId="6993E925" w14:textId="77777777" w:rsidTr="00271F20">
        <w:trPr>
          <w:trHeight w:val="244"/>
        </w:trPr>
        <w:tc>
          <w:tcPr>
            <w:tcW w:w="2303" w:type="dxa"/>
            <w:vMerge/>
          </w:tcPr>
          <w:p w14:paraId="4393CB1E" w14:textId="77777777" w:rsidR="00742364" w:rsidRPr="003F25EB" w:rsidRDefault="00742364" w:rsidP="00271F20">
            <w:pPr>
              <w:jc w:val="both"/>
              <w:rPr>
                <w:rFonts w:asciiTheme="majorHAnsi" w:hAnsiTheme="majorHAnsi"/>
              </w:rPr>
            </w:pPr>
          </w:p>
        </w:tc>
        <w:tc>
          <w:tcPr>
            <w:tcW w:w="1188" w:type="dxa"/>
            <w:vMerge w:val="restart"/>
          </w:tcPr>
          <w:p w14:paraId="17E41EB5" w14:textId="77777777" w:rsidR="00742364" w:rsidRPr="003F25EB" w:rsidRDefault="00742364" w:rsidP="00271F20">
            <w:pPr>
              <w:jc w:val="both"/>
              <w:rPr>
                <w:rFonts w:asciiTheme="majorHAnsi" w:hAnsiTheme="majorHAnsi"/>
              </w:rPr>
            </w:pPr>
            <w:r w:rsidRPr="003F25EB">
              <w:rPr>
                <w:rFonts w:asciiTheme="majorHAnsi" w:hAnsiTheme="majorHAnsi"/>
              </w:rPr>
              <w:t>représentés</w:t>
            </w:r>
          </w:p>
        </w:tc>
        <w:tc>
          <w:tcPr>
            <w:tcW w:w="1152" w:type="dxa"/>
            <w:vMerge w:val="restart"/>
          </w:tcPr>
          <w:p w14:paraId="257AD34E" w14:textId="77777777" w:rsidR="00742364" w:rsidRPr="003F25EB" w:rsidRDefault="00742364" w:rsidP="00271F20">
            <w:pPr>
              <w:jc w:val="right"/>
              <w:rPr>
                <w:rFonts w:asciiTheme="majorHAnsi" w:hAnsiTheme="majorHAnsi"/>
              </w:rPr>
            </w:pPr>
          </w:p>
        </w:tc>
        <w:tc>
          <w:tcPr>
            <w:tcW w:w="1622" w:type="dxa"/>
            <w:vMerge/>
          </w:tcPr>
          <w:p w14:paraId="74093119" w14:textId="77777777" w:rsidR="00742364" w:rsidRPr="003F25EB" w:rsidRDefault="00742364" w:rsidP="00271F20">
            <w:pPr>
              <w:jc w:val="both"/>
              <w:rPr>
                <w:rFonts w:asciiTheme="majorHAnsi" w:hAnsiTheme="majorHAnsi"/>
              </w:rPr>
            </w:pPr>
          </w:p>
        </w:tc>
        <w:tc>
          <w:tcPr>
            <w:tcW w:w="1492" w:type="dxa"/>
          </w:tcPr>
          <w:p w14:paraId="1FAD7D27" w14:textId="77777777" w:rsidR="00742364" w:rsidRPr="003F25EB" w:rsidRDefault="00742364" w:rsidP="00271F20">
            <w:pPr>
              <w:rPr>
                <w:rFonts w:asciiTheme="majorHAnsi" w:hAnsiTheme="majorHAnsi"/>
              </w:rPr>
            </w:pPr>
            <w:r w:rsidRPr="003F25EB">
              <w:rPr>
                <w:rFonts w:asciiTheme="majorHAnsi" w:hAnsiTheme="majorHAnsi"/>
              </w:rPr>
              <w:t>Contre</w:t>
            </w:r>
          </w:p>
        </w:tc>
        <w:tc>
          <w:tcPr>
            <w:tcW w:w="1492" w:type="dxa"/>
          </w:tcPr>
          <w:p w14:paraId="5DA6F863" w14:textId="77777777" w:rsidR="00742364" w:rsidRPr="003F25EB" w:rsidRDefault="00742364" w:rsidP="00271F20">
            <w:pPr>
              <w:jc w:val="right"/>
              <w:rPr>
                <w:rFonts w:asciiTheme="majorHAnsi" w:hAnsiTheme="majorHAnsi"/>
              </w:rPr>
            </w:pPr>
            <w:r>
              <w:rPr>
                <w:rFonts w:asciiTheme="majorHAnsi" w:hAnsiTheme="majorHAnsi"/>
              </w:rPr>
              <w:t>0</w:t>
            </w:r>
          </w:p>
        </w:tc>
      </w:tr>
      <w:tr w:rsidR="00742364" w:rsidRPr="003F25EB" w14:paraId="7CFA99F4" w14:textId="77777777" w:rsidTr="00271F20">
        <w:trPr>
          <w:trHeight w:val="244"/>
        </w:trPr>
        <w:tc>
          <w:tcPr>
            <w:tcW w:w="2303" w:type="dxa"/>
            <w:vMerge/>
          </w:tcPr>
          <w:p w14:paraId="6A6421F5" w14:textId="77777777" w:rsidR="00742364" w:rsidRPr="003F25EB" w:rsidRDefault="00742364" w:rsidP="00271F20">
            <w:pPr>
              <w:jc w:val="both"/>
              <w:rPr>
                <w:rFonts w:asciiTheme="majorHAnsi" w:hAnsiTheme="majorHAnsi"/>
              </w:rPr>
            </w:pPr>
          </w:p>
        </w:tc>
        <w:tc>
          <w:tcPr>
            <w:tcW w:w="1188" w:type="dxa"/>
            <w:vMerge/>
          </w:tcPr>
          <w:p w14:paraId="1E7794F7" w14:textId="77777777" w:rsidR="00742364" w:rsidRPr="003F25EB" w:rsidRDefault="00742364" w:rsidP="00271F20">
            <w:pPr>
              <w:jc w:val="both"/>
              <w:rPr>
                <w:rFonts w:asciiTheme="majorHAnsi" w:hAnsiTheme="majorHAnsi"/>
              </w:rPr>
            </w:pPr>
          </w:p>
        </w:tc>
        <w:tc>
          <w:tcPr>
            <w:tcW w:w="1152" w:type="dxa"/>
            <w:vMerge/>
          </w:tcPr>
          <w:p w14:paraId="6C9A7CDA" w14:textId="77777777" w:rsidR="00742364" w:rsidRPr="003F25EB" w:rsidRDefault="00742364" w:rsidP="00271F20">
            <w:pPr>
              <w:jc w:val="both"/>
              <w:rPr>
                <w:rFonts w:asciiTheme="majorHAnsi" w:hAnsiTheme="majorHAnsi"/>
              </w:rPr>
            </w:pPr>
          </w:p>
        </w:tc>
        <w:tc>
          <w:tcPr>
            <w:tcW w:w="1622" w:type="dxa"/>
            <w:vMerge/>
          </w:tcPr>
          <w:p w14:paraId="7DB4AF14" w14:textId="77777777" w:rsidR="00742364" w:rsidRPr="003F25EB" w:rsidRDefault="00742364" w:rsidP="00271F20">
            <w:pPr>
              <w:jc w:val="both"/>
              <w:rPr>
                <w:rFonts w:asciiTheme="majorHAnsi" w:hAnsiTheme="majorHAnsi"/>
              </w:rPr>
            </w:pPr>
          </w:p>
        </w:tc>
        <w:tc>
          <w:tcPr>
            <w:tcW w:w="1492" w:type="dxa"/>
          </w:tcPr>
          <w:p w14:paraId="17AD8416" w14:textId="77777777" w:rsidR="00742364" w:rsidRPr="003F25EB" w:rsidRDefault="00742364" w:rsidP="00271F20">
            <w:pPr>
              <w:rPr>
                <w:rFonts w:asciiTheme="majorHAnsi" w:hAnsiTheme="majorHAnsi"/>
              </w:rPr>
            </w:pPr>
            <w:r w:rsidRPr="003F25EB">
              <w:rPr>
                <w:rFonts w:asciiTheme="majorHAnsi" w:hAnsiTheme="majorHAnsi"/>
              </w:rPr>
              <w:t>Pour</w:t>
            </w:r>
          </w:p>
        </w:tc>
        <w:tc>
          <w:tcPr>
            <w:tcW w:w="1492" w:type="dxa"/>
          </w:tcPr>
          <w:p w14:paraId="76B0F02B" w14:textId="77777777" w:rsidR="00742364" w:rsidRPr="003F25EB" w:rsidRDefault="00742364" w:rsidP="00271F20">
            <w:pPr>
              <w:jc w:val="right"/>
              <w:rPr>
                <w:rFonts w:asciiTheme="majorHAnsi" w:hAnsiTheme="majorHAnsi"/>
              </w:rPr>
            </w:pPr>
          </w:p>
        </w:tc>
      </w:tr>
      <w:tr w:rsidR="00742364" w:rsidRPr="003F25EB" w14:paraId="1C116702" w14:textId="77777777" w:rsidTr="00271F20">
        <w:trPr>
          <w:trHeight w:val="245"/>
        </w:trPr>
        <w:tc>
          <w:tcPr>
            <w:tcW w:w="2303" w:type="dxa"/>
            <w:vMerge/>
          </w:tcPr>
          <w:p w14:paraId="34F11B0E" w14:textId="77777777" w:rsidR="00742364" w:rsidRPr="003F25EB" w:rsidRDefault="00742364" w:rsidP="00271F20">
            <w:pPr>
              <w:jc w:val="both"/>
              <w:rPr>
                <w:rFonts w:asciiTheme="majorHAnsi" w:hAnsiTheme="majorHAnsi"/>
              </w:rPr>
            </w:pPr>
          </w:p>
        </w:tc>
        <w:tc>
          <w:tcPr>
            <w:tcW w:w="1188" w:type="dxa"/>
            <w:vMerge/>
          </w:tcPr>
          <w:p w14:paraId="20A7B3D7" w14:textId="77777777" w:rsidR="00742364" w:rsidRPr="003F25EB" w:rsidRDefault="00742364" w:rsidP="00271F20">
            <w:pPr>
              <w:jc w:val="both"/>
              <w:rPr>
                <w:rFonts w:asciiTheme="majorHAnsi" w:hAnsiTheme="majorHAnsi"/>
              </w:rPr>
            </w:pPr>
          </w:p>
        </w:tc>
        <w:tc>
          <w:tcPr>
            <w:tcW w:w="1152" w:type="dxa"/>
            <w:vMerge/>
          </w:tcPr>
          <w:p w14:paraId="5CAB0B15" w14:textId="77777777" w:rsidR="00742364" w:rsidRPr="003F25EB" w:rsidRDefault="00742364" w:rsidP="00271F20">
            <w:pPr>
              <w:jc w:val="both"/>
              <w:rPr>
                <w:rFonts w:asciiTheme="majorHAnsi" w:hAnsiTheme="majorHAnsi"/>
              </w:rPr>
            </w:pPr>
          </w:p>
        </w:tc>
        <w:tc>
          <w:tcPr>
            <w:tcW w:w="1622" w:type="dxa"/>
            <w:vMerge/>
          </w:tcPr>
          <w:p w14:paraId="28D50583" w14:textId="77777777" w:rsidR="00742364" w:rsidRPr="003F25EB" w:rsidRDefault="00742364" w:rsidP="00271F20">
            <w:pPr>
              <w:jc w:val="both"/>
              <w:rPr>
                <w:rFonts w:asciiTheme="majorHAnsi" w:hAnsiTheme="majorHAnsi"/>
              </w:rPr>
            </w:pPr>
          </w:p>
        </w:tc>
        <w:tc>
          <w:tcPr>
            <w:tcW w:w="1492" w:type="dxa"/>
          </w:tcPr>
          <w:p w14:paraId="0F41471D" w14:textId="77777777" w:rsidR="00742364" w:rsidRPr="003F25EB" w:rsidRDefault="00742364" w:rsidP="00271F20">
            <w:pPr>
              <w:rPr>
                <w:rFonts w:asciiTheme="majorHAnsi" w:hAnsiTheme="majorHAnsi"/>
              </w:rPr>
            </w:pPr>
            <w:r w:rsidRPr="003F25EB">
              <w:rPr>
                <w:rFonts w:asciiTheme="majorHAnsi" w:hAnsiTheme="majorHAnsi"/>
              </w:rPr>
              <w:t>Ne se prononce pas</w:t>
            </w:r>
          </w:p>
        </w:tc>
        <w:tc>
          <w:tcPr>
            <w:tcW w:w="1492" w:type="dxa"/>
          </w:tcPr>
          <w:p w14:paraId="5651D2D0" w14:textId="77777777" w:rsidR="00742364" w:rsidRPr="003F25EB" w:rsidRDefault="00742364" w:rsidP="00271F20">
            <w:pPr>
              <w:jc w:val="right"/>
              <w:rPr>
                <w:rFonts w:asciiTheme="majorHAnsi" w:hAnsiTheme="majorHAnsi"/>
              </w:rPr>
            </w:pPr>
            <w:r>
              <w:rPr>
                <w:rFonts w:asciiTheme="majorHAnsi" w:hAnsiTheme="majorHAnsi"/>
              </w:rPr>
              <w:t>0</w:t>
            </w:r>
          </w:p>
        </w:tc>
      </w:tr>
    </w:tbl>
    <w:p w14:paraId="7AFC7BA9" w14:textId="77777777" w:rsidR="00742364" w:rsidRDefault="00742364" w:rsidP="007542A9">
      <w:pPr>
        <w:jc w:val="both"/>
        <w:rPr>
          <w:rFonts w:asciiTheme="majorHAnsi" w:hAnsiTheme="majorHAnsi"/>
          <w:b/>
        </w:rPr>
      </w:pPr>
    </w:p>
    <w:p w14:paraId="615EE08A" w14:textId="77777777" w:rsidR="00742364" w:rsidRDefault="00742364" w:rsidP="007542A9">
      <w:pPr>
        <w:jc w:val="both"/>
        <w:rPr>
          <w:rFonts w:asciiTheme="majorHAnsi" w:hAnsiTheme="majorHAnsi"/>
          <w:b/>
        </w:rPr>
      </w:pPr>
    </w:p>
    <w:p w14:paraId="63AE9CA3" w14:textId="77777777" w:rsidR="00F42011" w:rsidRPr="00BF20B1" w:rsidRDefault="00BF20B1" w:rsidP="007542A9">
      <w:pPr>
        <w:pBdr>
          <w:top w:val="single" w:sz="4" w:space="1" w:color="auto"/>
          <w:left w:val="single" w:sz="4" w:space="4" w:color="auto"/>
          <w:bottom w:val="single" w:sz="4" w:space="1" w:color="auto"/>
          <w:right w:val="single" w:sz="4" w:space="4" w:color="auto"/>
        </w:pBdr>
        <w:jc w:val="both"/>
        <w:rPr>
          <w:rFonts w:asciiTheme="majorHAnsi" w:hAnsiTheme="majorHAnsi"/>
          <w:b/>
        </w:rPr>
      </w:pPr>
      <w:r w:rsidRPr="00BF20B1">
        <w:rPr>
          <w:rFonts w:asciiTheme="majorHAnsi" w:hAnsiTheme="majorHAnsi"/>
          <w:b/>
        </w:rPr>
        <w:t>INFORMATIONS GENERALES</w:t>
      </w:r>
    </w:p>
    <w:p w14:paraId="3CBC10BA" w14:textId="77777777" w:rsidR="00BF20B1" w:rsidRPr="003F25EB" w:rsidRDefault="00BF20B1" w:rsidP="003F25EB">
      <w:pPr>
        <w:jc w:val="both"/>
        <w:rPr>
          <w:rFonts w:asciiTheme="majorHAnsi" w:hAnsiTheme="majorHAnsi"/>
        </w:rPr>
      </w:pPr>
    </w:p>
    <w:p w14:paraId="59CDC35A" w14:textId="45CC2AC3" w:rsidR="00F53123" w:rsidRDefault="00F53123" w:rsidP="003F25EB">
      <w:pPr>
        <w:pStyle w:val="Sansinterligne"/>
        <w:numPr>
          <w:ilvl w:val="0"/>
          <w:numId w:val="1"/>
        </w:numPr>
        <w:ind w:left="1065"/>
        <w:jc w:val="both"/>
        <w:rPr>
          <w:rFonts w:asciiTheme="majorHAnsi" w:hAnsiTheme="majorHAnsi"/>
          <w:sz w:val="24"/>
          <w:szCs w:val="24"/>
        </w:rPr>
      </w:pPr>
      <w:r>
        <w:rPr>
          <w:rFonts w:asciiTheme="majorHAnsi" w:hAnsiTheme="majorHAnsi"/>
          <w:sz w:val="24"/>
          <w:szCs w:val="24"/>
        </w:rPr>
        <w:t>Rapprochement du service culturel et du SCD</w:t>
      </w:r>
    </w:p>
    <w:p w14:paraId="15DA7E8C" w14:textId="2AEF49B0" w:rsidR="00BF20B1" w:rsidRDefault="00BE30C8" w:rsidP="003F25EB">
      <w:pPr>
        <w:pStyle w:val="Sansinterligne"/>
        <w:numPr>
          <w:ilvl w:val="0"/>
          <w:numId w:val="1"/>
        </w:numPr>
        <w:ind w:left="1065"/>
        <w:jc w:val="both"/>
        <w:rPr>
          <w:rFonts w:asciiTheme="majorHAnsi" w:hAnsiTheme="majorHAnsi"/>
          <w:sz w:val="24"/>
          <w:szCs w:val="24"/>
        </w:rPr>
      </w:pPr>
      <w:r>
        <w:rPr>
          <w:rFonts w:asciiTheme="majorHAnsi" w:hAnsiTheme="majorHAnsi"/>
          <w:sz w:val="24"/>
          <w:szCs w:val="24"/>
        </w:rPr>
        <w:t>Etude de programmation « </w:t>
      </w:r>
      <w:proofErr w:type="spellStart"/>
      <w:r>
        <w:rPr>
          <w:rFonts w:asciiTheme="majorHAnsi" w:hAnsiTheme="majorHAnsi"/>
          <w:sz w:val="24"/>
          <w:szCs w:val="24"/>
        </w:rPr>
        <w:t>learning</w:t>
      </w:r>
      <w:proofErr w:type="spellEnd"/>
      <w:r>
        <w:rPr>
          <w:rFonts w:asciiTheme="majorHAnsi" w:hAnsiTheme="majorHAnsi"/>
          <w:sz w:val="24"/>
          <w:szCs w:val="24"/>
        </w:rPr>
        <w:t xml:space="preserve"> centre </w:t>
      </w:r>
      <w:proofErr w:type="spellStart"/>
      <w:r>
        <w:rPr>
          <w:rFonts w:asciiTheme="majorHAnsi" w:hAnsiTheme="majorHAnsi"/>
          <w:sz w:val="24"/>
          <w:szCs w:val="24"/>
        </w:rPr>
        <w:t>Bouguen</w:t>
      </w:r>
      <w:proofErr w:type="spellEnd"/>
      <w:r>
        <w:rPr>
          <w:rFonts w:asciiTheme="majorHAnsi" w:hAnsiTheme="majorHAnsi"/>
          <w:sz w:val="24"/>
          <w:szCs w:val="24"/>
        </w:rPr>
        <w:t> »</w:t>
      </w:r>
    </w:p>
    <w:p w14:paraId="4B902FB4" w14:textId="7582DCDC" w:rsidR="00BE30C8" w:rsidRDefault="00BE30C8" w:rsidP="003F25EB">
      <w:pPr>
        <w:pStyle w:val="Sansinterligne"/>
        <w:numPr>
          <w:ilvl w:val="0"/>
          <w:numId w:val="1"/>
        </w:numPr>
        <w:ind w:left="1065"/>
        <w:jc w:val="both"/>
        <w:rPr>
          <w:rFonts w:asciiTheme="majorHAnsi" w:hAnsiTheme="majorHAnsi"/>
          <w:sz w:val="24"/>
          <w:szCs w:val="24"/>
        </w:rPr>
      </w:pPr>
      <w:r>
        <w:rPr>
          <w:rFonts w:asciiTheme="majorHAnsi" w:hAnsiTheme="majorHAnsi"/>
          <w:sz w:val="24"/>
          <w:szCs w:val="24"/>
        </w:rPr>
        <w:t>Signalement des fonds patrimoniaux des Ecoles Normales</w:t>
      </w:r>
    </w:p>
    <w:p w14:paraId="7D43A259" w14:textId="61F2735F" w:rsidR="00F842B9" w:rsidRDefault="00742364" w:rsidP="007E7273">
      <w:pPr>
        <w:pStyle w:val="Sansinterligne"/>
        <w:numPr>
          <w:ilvl w:val="0"/>
          <w:numId w:val="1"/>
        </w:numPr>
        <w:jc w:val="both"/>
        <w:rPr>
          <w:rFonts w:asciiTheme="majorHAnsi" w:hAnsiTheme="majorHAnsi"/>
          <w:sz w:val="24"/>
          <w:szCs w:val="24"/>
        </w:rPr>
      </w:pPr>
      <w:r>
        <w:rPr>
          <w:rFonts w:asciiTheme="majorHAnsi" w:hAnsiTheme="majorHAnsi"/>
          <w:sz w:val="24"/>
          <w:szCs w:val="24"/>
        </w:rPr>
        <w:t>Projet Manivelle</w:t>
      </w:r>
    </w:p>
    <w:p w14:paraId="71A855DA" w14:textId="77777777" w:rsidR="00742364" w:rsidRPr="007E7273" w:rsidRDefault="00742364" w:rsidP="00742364">
      <w:pPr>
        <w:pStyle w:val="Sansinterligne"/>
        <w:ind w:left="1070"/>
        <w:jc w:val="both"/>
        <w:rPr>
          <w:rFonts w:asciiTheme="majorHAnsi" w:hAnsiTheme="majorHAnsi"/>
          <w:sz w:val="24"/>
          <w:szCs w:val="24"/>
        </w:rPr>
      </w:pPr>
    </w:p>
    <w:p w14:paraId="5D8DBFFD" w14:textId="77777777" w:rsidR="009230AD" w:rsidRDefault="009230AD" w:rsidP="003F25EB">
      <w:pPr>
        <w:jc w:val="both"/>
        <w:rPr>
          <w:rFonts w:asciiTheme="majorHAnsi" w:hAnsiTheme="majorHAnsi"/>
        </w:rPr>
      </w:pPr>
    </w:p>
    <w:p w14:paraId="220B41A7" w14:textId="77777777" w:rsidR="00D8353F" w:rsidRDefault="00D8353F" w:rsidP="003F25EB">
      <w:pPr>
        <w:jc w:val="both"/>
        <w:rPr>
          <w:rFonts w:asciiTheme="majorHAnsi" w:hAnsiTheme="majorHAnsi"/>
        </w:rPr>
      </w:pPr>
    </w:p>
    <w:p w14:paraId="5934DE89" w14:textId="77777777" w:rsidR="00512120" w:rsidRDefault="00512120" w:rsidP="003F25EB">
      <w:pPr>
        <w:jc w:val="both"/>
        <w:rPr>
          <w:rFonts w:asciiTheme="majorHAnsi" w:hAnsiTheme="majorHAnsi"/>
        </w:rPr>
      </w:pPr>
    </w:p>
    <w:p w14:paraId="5C4A1D30" w14:textId="77777777" w:rsidR="00512120" w:rsidRDefault="00512120" w:rsidP="003F25EB">
      <w:pPr>
        <w:jc w:val="both"/>
        <w:rPr>
          <w:rFonts w:asciiTheme="majorHAnsi" w:hAnsiTheme="majorHAnsi"/>
        </w:rPr>
      </w:pPr>
    </w:p>
    <w:p w14:paraId="224E981A" w14:textId="77777777" w:rsidR="00512120" w:rsidRDefault="00512120" w:rsidP="003F25EB">
      <w:pPr>
        <w:jc w:val="both"/>
        <w:rPr>
          <w:rFonts w:asciiTheme="majorHAnsi" w:hAnsiTheme="majorHAnsi"/>
        </w:rPr>
      </w:pPr>
    </w:p>
    <w:p w14:paraId="22AEF1AF" w14:textId="486B6D1E" w:rsidR="00512120" w:rsidRDefault="00512120" w:rsidP="00512120">
      <w:pPr>
        <w:ind w:left="4248" w:firstLine="708"/>
        <w:jc w:val="both"/>
        <w:rPr>
          <w:rFonts w:asciiTheme="majorHAnsi" w:hAnsiTheme="majorHAnsi"/>
        </w:rPr>
      </w:pPr>
      <w:r>
        <w:rPr>
          <w:rFonts w:asciiTheme="majorHAnsi" w:hAnsiTheme="majorHAnsi"/>
        </w:rPr>
        <w:t xml:space="preserve">Le </w:t>
      </w:r>
      <w:r w:rsidR="00742364">
        <w:rPr>
          <w:rFonts w:asciiTheme="majorHAnsi" w:hAnsiTheme="majorHAnsi"/>
        </w:rPr>
        <w:t>8 décembre</w:t>
      </w:r>
      <w:r>
        <w:rPr>
          <w:rFonts w:asciiTheme="majorHAnsi" w:hAnsiTheme="majorHAnsi"/>
        </w:rPr>
        <w:t xml:space="preserve"> 2016</w:t>
      </w:r>
    </w:p>
    <w:p w14:paraId="2C7A7E3F" w14:textId="77777777" w:rsidR="00512120" w:rsidRDefault="00512120" w:rsidP="00512120">
      <w:pPr>
        <w:jc w:val="both"/>
        <w:rPr>
          <w:rFonts w:asciiTheme="majorHAnsi" w:hAnsiTheme="majorHAnsi"/>
        </w:rPr>
      </w:pPr>
    </w:p>
    <w:p w14:paraId="724A0F26" w14:textId="3B8ADC5E" w:rsidR="00512120" w:rsidRDefault="00512120" w:rsidP="00512120">
      <w:pPr>
        <w:ind w:left="4248" w:firstLine="708"/>
        <w:jc w:val="both"/>
        <w:rPr>
          <w:rFonts w:asciiTheme="majorHAnsi" w:hAnsiTheme="majorHAnsi"/>
        </w:rPr>
      </w:pPr>
      <w:r>
        <w:rPr>
          <w:rFonts w:asciiTheme="majorHAnsi" w:hAnsiTheme="majorHAnsi"/>
        </w:rPr>
        <w:t>Le Président</w:t>
      </w:r>
    </w:p>
    <w:p w14:paraId="1E3423F6" w14:textId="77777777" w:rsidR="00512120" w:rsidRDefault="00512120" w:rsidP="00512120">
      <w:pPr>
        <w:jc w:val="both"/>
        <w:rPr>
          <w:rFonts w:asciiTheme="majorHAnsi" w:hAnsiTheme="majorHAnsi"/>
        </w:rPr>
      </w:pPr>
    </w:p>
    <w:p w14:paraId="0FB4B5CB" w14:textId="51545148" w:rsidR="00512120" w:rsidRPr="003F25EB" w:rsidRDefault="00512120" w:rsidP="00512120">
      <w:pPr>
        <w:ind w:left="4248" w:firstLine="708"/>
        <w:jc w:val="both"/>
        <w:rPr>
          <w:rFonts w:asciiTheme="majorHAnsi" w:hAnsiTheme="majorHAnsi"/>
        </w:rPr>
      </w:pPr>
      <w:r>
        <w:rPr>
          <w:rFonts w:asciiTheme="majorHAnsi" w:hAnsiTheme="majorHAnsi"/>
        </w:rPr>
        <w:t>Matthieu GALLOU</w:t>
      </w:r>
    </w:p>
    <w:sectPr w:rsidR="00512120" w:rsidRPr="003F25EB" w:rsidSect="00F0015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Narrow">
    <w:panose1 w:val="020B050602020203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70D068F"/>
    <w:multiLevelType w:val="hybridMultilevel"/>
    <w:tmpl w:val="42DAF882"/>
    <w:lvl w:ilvl="0" w:tplc="773255A0">
      <w:start w:val="2"/>
      <w:numFmt w:val="bullet"/>
      <w:lvlText w:val=""/>
      <w:lvlJc w:val="left"/>
      <w:pPr>
        <w:ind w:left="720" w:hanging="360"/>
      </w:pPr>
      <w:rPr>
        <w:rFonts w:ascii="Wingdings" w:eastAsiaTheme="minorEastAsia" w:hAnsi="Wingdings" w:cs="Helvetic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CA67AAE"/>
    <w:multiLevelType w:val="hybridMultilevel"/>
    <w:tmpl w:val="FD542382"/>
    <w:lvl w:ilvl="0" w:tplc="D368CA3C">
      <w:start w:val="2"/>
      <w:numFmt w:val="bullet"/>
      <w:lvlText w:val="-"/>
      <w:lvlJc w:val="left"/>
      <w:pPr>
        <w:ind w:left="107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7423C4C"/>
    <w:multiLevelType w:val="hybridMultilevel"/>
    <w:tmpl w:val="2474F902"/>
    <w:lvl w:ilvl="0" w:tplc="0DB645C0">
      <w:start w:val="1"/>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DCA25BC"/>
    <w:multiLevelType w:val="hybridMultilevel"/>
    <w:tmpl w:val="8122578A"/>
    <w:lvl w:ilvl="0" w:tplc="24DA1524">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53F"/>
    <w:rsid w:val="00017EF0"/>
    <w:rsid w:val="00060074"/>
    <w:rsid w:val="00077F0E"/>
    <w:rsid w:val="00084229"/>
    <w:rsid w:val="000C43A8"/>
    <w:rsid w:val="000F5494"/>
    <w:rsid w:val="00125435"/>
    <w:rsid w:val="00153029"/>
    <w:rsid w:val="00193BE3"/>
    <w:rsid w:val="001C78BA"/>
    <w:rsid w:val="00271F20"/>
    <w:rsid w:val="00272CC8"/>
    <w:rsid w:val="002B4095"/>
    <w:rsid w:val="002D4FC4"/>
    <w:rsid w:val="002E5A85"/>
    <w:rsid w:val="003046DA"/>
    <w:rsid w:val="0037337A"/>
    <w:rsid w:val="0039179A"/>
    <w:rsid w:val="003B0C48"/>
    <w:rsid w:val="003F25EB"/>
    <w:rsid w:val="003F4EBB"/>
    <w:rsid w:val="00450744"/>
    <w:rsid w:val="00465BB7"/>
    <w:rsid w:val="004A7B9C"/>
    <w:rsid w:val="004C1FD8"/>
    <w:rsid w:val="004C4969"/>
    <w:rsid w:val="00512120"/>
    <w:rsid w:val="005375EF"/>
    <w:rsid w:val="0056281C"/>
    <w:rsid w:val="005870DE"/>
    <w:rsid w:val="00662A86"/>
    <w:rsid w:val="007159BB"/>
    <w:rsid w:val="00742364"/>
    <w:rsid w:val="007542A9"/>
    <w:rsid w:val="007B3271"/>
    <w:rsid w:val="007E7273"/>
    <w:rsid w:val="00835A7C"/>
    <w:rsid w:val="00884BB0"/>
    <w:rsid w:val="009110E3"/>
    <w:rsid w:val="009230AD"/>
    <w:rsid w:val="009619A5"/>
    <w:rsid w:val="009E7486"/>
    <w:rsid w:val="00A01AB8"/>
    <w:rsid w:val="00A126CB"/>
    <w:rsid w:val="00AF34D6"/>
    <w:rsid w:val="00B84F82"/>
    <w:rsid w:val="00BD2C0D"/>
    <w:rsid w:val="00BE30C8"/>
    <w:rsid w:val="00BF20B1"/>
    <w:rsid w:val="00C12934"/>
    <w:rsid w:val="00C13570"/>
    <w:rsid w:val="00C761A5"/>
    <w:rsid w:val="00C937F1"/>
    <w:rsid w:val="00CC0373"/>
    <w:rsid w:val="00CF2154"/>
    <w:rsid w:val="00D16340"/>
    <w:rsid w:val="00D1677E"/>
    <w:rsid w:val="00D3683D"/>
    <w:rsid w:val="00D74097"/>
    <w:rsid w:val="00D8353F"/>
    <w:rsid w:val="00DA37AD"/>
    <w:rsid w:val="00DA3DEA"/>
    <w:rsid w:val="00DB196C"/>
    <w:rsid w:val="00DD2E66"/>
    <w:rsid w:val="00E2112F"/>
    <w:rsid w:val="00E256D6"/>
    <w:rsid w:val="00E82DDE"/>
    <w:rsid w:val="00ED6ED4"/>
    <w:rsid w:val="00EE1352"/>
    <w:rsid w:val="00EE7791"/>
    <w:rsid w:val="00F0015C"/>
    <w:rsid w:val="00F0380E"/>
    <w:rsid w:val="00F42011"/>
    <w:rsid w:val="00F53123"/>
    <w:rsid w:val="00F830EA"/>
    <w:rsid w:val="00F842B9"/>
    <w:rsid w:val="00FD133B"/>
    <w:rsid w:val="00FE2E9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3038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8353F"/>
    <w:rPr>
      <w:rFonts w:ascii="Calibri" w:eastAsia="Calibri" w:hAnsi="Calibri" w:cs="Times New Roman"/>
      <w:sz w:val="22"/>
      <w:szCs w:val="22"/>
      <w:lang w:eastAsia="en-US"/>
    </w:rPr>
  </w:style>
  <w:style w:type="table" w:styleId="Grille">
    <w:name w:val="Table Grid"/>
    <w:basedOn w:val="TableauNormal"/>
    <w:uiPriority w:val="59"/>
    <w:rsid w:val="00D8353F"/>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4A7B9C"/>
    <w:pPr>
      <w:ind w:left="720"/>
      <w:contextualSpacing/>
    </w:pPr>
    <w:rPr>
      <w:rFonts w:ascii="Times New Roman" w:eastAsia="Times New Roman" w:hAnsi="Times New Roman" w:cs="Times New Roman"/>
    </w:rPr>
  </w:style>
  <w:style w:type="paragraph" w:customStyle="1" w:styleId="normal0">
    <w:name w:val="normal"/>
    <w:rsid w:val="00CF2154"/>
    <w:pPr>
      <w:spacing w:line="276" w:lineRule="auto"/>
    </w:pPr>
    <w:rPr>
      <w:rFonts w:ascii="Arial" w:eastAsia="Arial" w:hAnsi="Arial" w:cs="Arial"/>
      <w:color w:val="000000"/>
      <w:sz w:val="22"/>
      <w:szCs w:val="22"/>
    </w:rPr>
  </w:style>
  <w:style w:type="character" w:styleId="Lienhypertexte">
    <w:name w:val="Hyperlink"/>
    <w:basedOn w:val="Policepardfaut"/>
    <w:uiPriority w:val="99"/>
    <w:unhideWhenUsed/>
    <w:rsid w:val="003046D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8353F"/>
    <w:rPr>
      <w:rFonts w:ascii="Calibri" w:eastAsia="Calibri" w:hAnsi="Calibri" w:cs="Times New Roman"/>
      <w:sz w:val="22"/>
      <w:szCs w:val="22"/>
      <w:lang w:eastAsia="en-US"/>
    </w:rPr>
  </w:style>
  <w:style w:type="table" w:styleId="Grille">
    <w:name w:val="Table Grid"/>
    <w:basedOn w:val="TableauNormal"/>
    <w:uiPriority w:val="59"/>
    <w:rsid w:val="00D8353F"/>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4A7B9C"/>
    <w:pPr>
      <w:ind w:left="720"/>
      <w:contextualSpacing/>
    </w:pPr>
    <w:rPr>
      <w:rFonts w:ascii="Times New Roman" w:eastAsia="Times New Roman" w:hAnsi="Times New Roman" w:cs="Times New Roman"/>
    </w:rPr>
  </w:style>
  <w:style w:type="paragraph" w:customStyle="1" w:styleId="normal0">
    <w:name w:val="normal"/>
    <w:rsid w:val="00CF2154"/>
    <w:pPr>
      <w:spacing w:line="276" w:lineRule="auto"/>
    </w:pPr>
    <w:rPr>
      <w:rFonts w:ascii="Arial" w:eastAsia="Arial" w:hAnsi="Arial" w:cs="Arial"/>
      <w:color w:val="000000"/>
      <w:sz w:val="22"/>
      <w:szCs w:val="22"/>
    </w:rPr>
  </w:style>
  <w:style w:type="character" w:styleId="Lienhypertexte">
    <w:name w:val="Hyperlink"/>
    <w:basedOn w:val="Policepardfaut"/>
    <w:uiPriority w:val="99"/>
    <w:unhideWhenUsed/>
    <w:rsid w:val="003046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ifremer.worldcat.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5</Pages>
  <Words>1668</Words>
  <Characters>9177</Characters>
  <Application>Microsoft Macintosh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UBO</Company>
  <LinksUpToDate>false</LinksUpToDate>
  <CharactersWithSpaces>10824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Tocquer</dc:creator>
  <cp:lastModifiedBy>Nicolas Tocquer</cp:lastModifiedBy>
  <cp:revision>25</cp:revision>
  <cp:lastPrinted>2015-06-22T15:10:00Z</cp:lastPrinted>
  <dcterms:created xsi:type="dcterms:W3CDTF">2016-11-17T16:08:00Z</dcterms:created>
  <dcterms:modified xsi:type="dcterms:W3CDTF">2016-12-02T16:19:00Z</dcterms:modified>
</cp:coreProperties>
</file>